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619" w:rsidRDefault="00AA0619" w:rsidP="00AB301B">
      <w:pPr>
        <w:pBdr>
          <w:top w:val="single" w:sz="4" w:space="1" w:color="auto"/>
          <w:left w:val="single" w:sz="4" w:space="4" w:color="auto"/>
          <w:bottom w:val="single" w:sz="4" w:space="1" w:color="auto"/>
          <w:right w:val="single" w:sz="4" w:space="4" w:color="auto"/>
        </w:pBdr>
        <w:jc w:val="center"/>
        <w:rPr>
          <w:b/>
          <w:sz w:val="28"/>
          <w:szCs w:val="28"/>
        </w:rPr>
      </w:pPr>
      <w:bookmarkStart w:id="0" w:name="_Ref478624752"/>
      <w:bookmarkStart w:id="1" w:name="_Ref478624758"/>
      <w:bookmarkStart w:id="2" w:name="_Ref478624770"/>
      <w:bookmarkStart w:id="3" w:name="_Ref478624778"/>
      <w:bookmarkStart w:id="4" w:name="_Ref478624787"/>
      <w:bookmarkStart w:id="5" w:name="_Toc490659740"/>
      <w:r w:rsidRPr="00AA0619">
        <w:rPr>
          <w:b/>
          <w:sz w:val="28"/>
          <w:szCs w:val="28"/>
        </w:rPr>
        <w:t xml:space="preserve">La concertation sociale en </w:t>
      </w:r>
      <w:r w:rsidR="00AB301B">
        <w:rPr>
          <w:b/>
          <w:sz w:val="28"/>
          <w:szCs w:val="28"/>
        </w:rPr>
        <w:t>Belgique (suite marché de travail)</w:t>
      </w:r>
    </w:p>
    <w:p w:rsidR="00F6488C" w:rsidRDefault="00F6488C" w:rsidP="00F6488C">
      <w:pPr>
        <w:pStyle w:val="Normal1"/>
        <w:rPr>
          <w:rFonts w:ascii="Times New Roman" w:hAnsi="Times New Roman" w:cs="Times New Roman"/>
          <w:sz w:val="28"/>
          <w:szCs w:val="28"/>
        </w:rPr>
      </w:pPr>
      <w:r>
        <w:rPr>
          <w:rFonts w:ascii="Times New Roman" w:hAnsi="Times New Roman" w:cs="Times New Roman"/>
          <w:sz w:val="28"/>
          <w:szCs w:val="28"/>
        </w:rPr>
        <w:t>Vous disposez de</w:t>
      </w:r>
      <w:r>
        <w:rPr>
          <w:rFonts w:ascii="Times New Roman" w:hAnsi="Times New Roman" w:cs="Times New Roman"/>
          <w:sz w:val="28"/>
          <w:szCs w:val="28"/>
        </w:rPr>
        <w:t xml:space="preserve"> document</w:t>
      </w:r>
      <w:r>
        <w:rPr>
          <w:rFonts w:ascii="Times New Roman" w:hAnsi="Times New Roman" w:cs="Times New Roman"/>
          <w:sz w:val="28"/>
          <w:szCs w:val="28"/>
        </w:rPr>
        <w:t xml:space="preserve"> ci-dessous qui représente un résumé sur la concertation sociale en Belgique. Je vous invite à lire ce résumé et</w:t>
      </w:r>
      <w:r>
        <w:rPr>
          <w:rFonts w:ascii="Times New Roman" w:hAnsi="Times New Roman" w:cs="Times New Roman"/>
          <w:sz w:val="28"/>
          <w:szCs w:val="28"/>
        </w:rPr>
        <w:t xml:space="preserve"> prendre contact avec moi si vous avez des questions (e-mail : </w:t>
      </w:r>
      <w:hyperlink r:id="rId7" w:history="1">
        <w:r w:rsidRPr="00D352CA">
          <w:rPr>
            <w:rStyle w:val="Lienhypertexte"/>
            <w:rFonts w:ascii="Times New Roman" w:hAnsi="Times New Roman" w:cs="Times New Roman"/>
            <w:b/>
            <w:sz w:val="28"/>
            <w:szCs w:val="28"/>
          </w:rPr>
          <w:t>zohra.firat@gmail.com</w:t>
        </w:r>
      </w:hyperlink>
      <w:r>
        <w:rPr>
          <w:rFonts w:ascii="Times New Roman" w:hAnsi="Times New Roman" w:cs="Times New Roman"/>
          <w:sz w:val="28"/>
          <w:szCs w:val="28"/>
        </w:rPr>
        <w:t>).</w:t>
      </w:r>
    </w:p>
    <w:p w:rsidR="00F6488C" w:rsidRDefault="00F6488C" w:rsidP="00F6488C">
      <w:pPr>
        <w:pStyle w:val="Normal1"/>
        <w:rPr>
          <w:rFonts w:ascii="Times New Roman" w:hAnsi="Times New Roman" w:cs="Times New Roman"/>
          <w:sz w:val="28"/>
          <w:szCs w:val="28"/>
          <w:u w:val="single"/>
        </w:rPr>
      </w:pPr>
    </w:p>
    <w:p w:rsidR="00F6488C" w:rsidRDefault="00F6488C" w:rsidP="00F6488C">
      <w:pPr>
        <w:pStyle w:val="Normal1"/>
        <w:rPr>
          <w:rFonts w:ascii="Times New Roman" w:hAnsi="Times New Roman" w:cs="Times New Roman"/>
          <w:sz w:val="28"/>
          <w:szCs w:val="28"/>
        </w:rPr>
      </w:pPr>
      <w:r>
        <w:rPr>
          <w:rFonts w:ascii="Times New Roman" w:hAnsi="Times New Roman" w:cs="Times New Roman"/>
          <w:sz w:val="28"/>
          <w:szCs w:val="28"/>
          <w:u w:val="single"/>
        </w:rPr>
        <w:t xml:space="preserve">Bonne année </w:t>
      </w:r>
    </w:p>
    <w:p w:rsidR="00F6488C" w:rsidRPr="00AA0619" w:rsidRDefault="00F6488C" w:rsidP="00F6488C">
      <w:pPr>
        <w:rPr>
          <w:b/>
          <w:sz w:val="28"/>
          <w:szCs w:val="28"/>
        </w:rPr>
      </w:pPr>
      <w:bookmarkStart w:id="6" w:name="_GoBack"/>
      <w:bookmarkEnd w:id="6"/>
    </w:p>
    <w:p w:rsidR="005F27A1" w:rsidRDefault="005F27A1" w:rsidP="005F27A1">
      <w:pPr>
        <w:pStyle w:val="Titre2"/>
        <w:jc w:val="left"/>
      </w:pPr>
      <w:r>
        <w:t>Les représentants des travailleurs - les syndicats</w:t>
      </w:r>
      <w:bookmarkEnd w:id="0"/>
      <w:bookmarkEnd w:id="1"/>
      <w:bookmarkEnd w:id="2"/>
      <w:bookmarkEnd w:id="3"/>
      <w:bookmarkEnd w:id="4"/>
      <w:bookmarkEnd w:id="5"/>
    </w:p>
    <w:p w:rsidR="005F27A1" w:rsidRDefault="005F27A1" w:rsidP="005F27A1">
      <w:pPr>
        <w:spacing w:before="240"/>
      </w:pPr>
      <w:r>
        <w:t>Tu as sans doute déjà entendu parler des syndicats en Belgique. Associe les personnes de la photo au syndicat auquel elles appartiennent. Indique leurs principales caractéristiques. Aide-toi d'Internet si nécessaire.</w:t>
      </w:r>
    </w:p>
    <w:p w:rsidR="005F27A1" w:rsidRDefault="005F27A1" w:rsidP="005F27A1">
      <w:pPr>
        <w:jc w:val="center"/>
      </w:pPr>
      <w:r>
        <w:rPr>
          <w:noProof/>
          <w:lang w:eastAsia="fr-BE"/>
        </w:rPr>
        <w:drawing>
          <wp:inline distT="0" distB="0" distL="0" distR="0" wp14:anchorId="2F84C968" wp14:editId="142F7719">
            <wp:extent cx="4524375" cy="2009775"/>
            <wp:effectExtent l="0" t="0" r="9525" b="9525"/>
            <wp:docPr id="35" name="Image 35" descr="Résultat de recherche d'images pour &quot;manifestation bruxelles novembre 2016&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manifestation bruxelles novembre 2016&quo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3438"/>
                    <a:stretch/>
                  </pic:blipFill>
                  <pic:spPr bwMode="auto">
                    <a:xfrm>
                      <a:off x="0" y="0"/>
                      <a:ext cx="4524375" cy="200977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Grilledutableau"/>
        <w:tblW w:w="0" w:type="auto"/>
        <w:tblLook w:val="04A0" w:firstRow="1" w:lastRow="0" w:firstColumn="1" w:lastColumn="0" w:noHBand="0" w:noVBand="1"/>
      </w:tblPr>
      <w:tblGrid>
        <w:gridCol w:w="2013"/>
        <w:gridCol w:w="2601"/>
        <w:gridCol w:w="2139"/>
        <w:gridCol w:w="2309"/>
      </w:tblGrid>
      <w:tr w:rsidR="005F27A1" w:rsidTr="00F801E1">
        <w:tc>
          <w:tcPr>
            <w:tcW w:w="2407" w:type="dxa"/>
            <w:vAlign w:val="center"/>
          </w:tcPr>
          <w:p w:rsidR="005F27A1" w:rsidRDefault="005F27A1" w:rsidP="00F801E1">
            <w:r>
              <w:t>Logo</w:t>
            </w:r>
          </w:p>
        </w:tc>
        <w:tc>
          <w:tcPr>
            <w:tcW w:w="2407" w:type="dxa"/>
            <w:vAlign w:val="center"/>
          </w:tcPr>
          <w:p w:rsidR="005F27A1" w:rsidRDefault="005F27A1" w:rsidP="00F801E1">
            <w:r>
              <w:rPr>
                <w:noProof/>
                <w:lang w:eastAsia="fr-BE"/>
              </w:rPr>
              <w:drawing>
                <wp:inline distT="0" distB="0" distL="0" distR="0" wp14:anchorId="7BF8A52A" wp14:editId="0CE5271C">
                  <wp:extent cx="1514475" cy="404518"/>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530698" cy="408851"/>
                          </a:xfrm>
                          <a:prstGeom prst="rect">
                            <a:avLst/>
                          </a:prstGeom>
                        </pic:spPr>
                      </pic:pic>
                    </a:graphicData>
                  </a:graphic>
                </wp:inline>
              </w:drawing>
            </w:r>
          </w:p>
        </w:tc>
        <w:tc>
          <w:tcPr>
            <w:tcW w:w="2408" w:type="dxa"/>
            <w:vAlign w:val="center"/>
          </w:tcPr>
          <w:p w:rsidR="005F27A1" w:rsidRDefault="005F27A1" w:rsidP="00F801E1">
            <w:pPr>
              <w:jc w:val="center"/>
            </w:pPr>
            <w:r>
              <w:rPr>
                <w:noProof/>
                <w:lang w:eastAsia="fr-BE"/>
              </w:rPr>
              <w:drawing>
                <wp:inline distT="0" distB="0" distL="0" distR="0" wp14:anchorId="4E1A118C" wp14:editId="5920006C">
                  <wp:extent cx="790575" cy="742950"/>
                  <wp:effectExtent l="0" t="0" r="952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790575" cy="742950"/>
                          </a:xfrm>
                          <a:prstGeom prst="rect">
                            <a:avLst/>
                          </a:prstGeom>
                        </pic:spPr>
                      </pic:pic>
                    </a:graphicData>
                  </a:graphic>
                </wp:inline>
              </w:drawing>
            </w:r>
          </w:p>
        </w:tc>
        <w:tc>
          <w:tcPr>
            <w:tcW w:w="2408" w:type="dxa"/>
          </w:tcPr>
          <w:p w:rsidR="005F27A1" w:rsidRDefault="005F27A1" w:rsidP="00F801E1">
            <w:r>
              <w:rPr>
                <w:noProof/>
                <w:lang w:eastAsia="fr-BE"/>
              </w:rPr>
              <w:drawing>
                <wp:inline distT="0" distB="0" distL="0" distR="0" wp14:anchorId="3BBD23E6" wp14:editId="62170146">
                  <wp:extent cx="1181100" cy="81915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181100" cy="819150"/>
                          </a:xfrm>
                          <a:prstGeom prst="rect">
                            <a:avLst/>
                          </a:prstGeom>
                        </pic:spPr>
                      </pic:pic>
                    </a:graphicData>
                  </a:graphic>
                </wp:inline>
              </w:drawing>
            </w:r>
          </w:p>
        </w:tc>
      </w:tr>
      <w:tr w:rsidR="005F27A1" w:rsidTr="00F801E1">
        <w:trPr>
          <w:trHeight w:val="1361"/>
        </w:trPr>
        <w:tc>
          <w:tcPr>
            <w:tcW w:w="2407" w:type="dxa"/>
            <w:vAlign w:val="center"/>
          </w:tcPr>
          <w:p w:rsidR="005F27A1" w:rsidRDefault="005F27A1" w:rsidP="00F801E1">
            <w:r>
              <w:t>Nom</w:t>
            </w:r>
          </w:p>
        </w:tc>
        <w:tc>
          <w:tcPr>
            <w:tcW w:w="2407" w:type="dxa"/>
            <w:vAlign w:val="center"/>
          </w:tcPr>
          <w:p w:rsidR="005F27A1" w:rsidRPr="00CA0645" w:rsidRDefault="005F27A1" w:rsidP="00F801E1">
            <w:pPr>
              <w:rPr>
                <w:color w:val="FF0000"/>
              </w:rPr>
            </w:pPr>
            <w:r w:rsidRPr="00CA0645">
              <w:rPr>
                <w:color w:val="FF0000"/>
              </w:rPr>
              <w:t>Fédération Générale du Travail de Belgique</w:t>
            </w:r>
          </w:p>
        </w:tc>
        <w:tc>
          <w:tcPr>
            <w:tcW w:w="2408" w:type="dxa"/>
            <w:vAlign w:val="center"/>
          </w:tcPr>
          <w:p w:rsidR="005F27A1" w:rsidRPr="00CA0645" w:rsidRDefault="005F27A1" w:rsidP="00F801E1">
            <w:pPr>
              <w:rPr>
                <w:color w:val="FF0000"/>
              </w:rPr>
            </w:pPr>
            <w:r w:rsidRPr="00CA0645">
              <w:rPr>
                <w:color w:val="FF0000"/>
              </w:rPr>
              <w:t>Confédération des Syndicats Chrétiens</w:t>
            </w:r>
          </w:p>
        </w:tc>
        <w:tc>
          <w:tcPr>
            <w:tcW w:w="2408" w:type="dxa"/>
            <w:vAlign w:val="center"/>
          </w:tcPr>
          <w:p w:rsidR="005F27A1" w:rsidRPr="00CA0645" w:rsidRDefault="005F27A1" w:rsidP="00F801E1">
            <w:pPr>
              <w:rPr>
                <w:color w:val="FF0000"/>
              </w:rPr>
            </w:pPr>
            <w:r w:rsidRPr="00CA0645">
              <w:rPr>
                <w:color w:val="FF0000"/>
              </w:rPr>
              <w:t>Centrale Générale des Syndicats Libéraux de Belgique</w:t>
            </w:r>
          </w:p>
        </w:tc>
      </w:tr>
      <w:tr w:rsidR="005F27A1" w:rsidTr="00F801E1">
        <w:trPr>
          <w:trHeight w:val="1134"/>
        </w:trPr>
        <w:tc>
          <w:tcPr>
            <w:tcW w:w="2407" w:type="dxa"/>
            <w:vAlign w:val="center"/>
          </w:tcPr>
          <w:p w:rsidR="005F27A1" w:rsidRDefault="005F27A1" w:rsidP="00F801E1">
            <w:r>
              <w:t>Tendance politique</w:t>
            </w:r>
          </w:p>
        </w:tc>
        <w:tc>
          <w:tcPr>
            <w:tcW w:w="2407" w:type="dxa"/>
            <w:vAlign w:val="center"/>
          </w:tcPr>
          <w:p w:rsidR="005F27A1" w:rsidRPr="00CA0645" w:rsidRDefault="005F27A1" w:rsidP="00F801E1">
            <w:pPr>
              <w:rPr>
                <w:color w:val="FF0000"/>
              </w:rPr>
            </w:pPr>
            <w:r w:rsidRPr="00CA0645">
              <w:rPr>
                <w:color w:val="FF0000"/>
              </w:rPr>
              <w:t>D'inspiration socialiste</w:t>
            </w:r>
          </w:p>
        </w:tc>
        <w:tc>
          <w:tcPr>
            <w:tcW w:w="2408" w:type="dxa"/>
            <w:vAlign w:val="center"/>
          </w:tcPr>
          <w:p w:rsidR="005F27A1" w:rsidRPr="00CA0645" w:rsidRDefault="005F27A1" w:rsidP="00F801E1">
            <w:pPr>
              <w:rPr>
                <w:color w:val="FF0000"/>
              </w:rPr>
            </w:pPr>
            <w:r w:rsidRPr="00CA0645">
              <w:rPr>
                <w:color w:val="FF0000"/>
              </w:rPr>
              <w:t>D'inspiration chrétienne</w:t>
            </w:r>
          </w:p>
        </w:tc>
        <w:tc>
          <w:tcPr>
            <w:tcW w:w="2408" w:type="dxa"/>
            <w:vAlign w:val="center"/>
          </w:tcPr>
          <w:p w:rsidR="005F27A1" w:rsidRPr="00CA0645" w:rsidRDefault="005F27A1" w:rsidP="00F801E1">
            <w:pPr>
              <w:rPr>
                <w:color w:val="FF0000"/>
              </w:rPr>
            </w:pPr>
            <w:r w:rsidRPr="00CA0645">
              <w:rPr>
                <w:color w:val="FF0000"/>
              </w:rPr>
              <w:t>D'inspiration libérale</w:t>
            </w:r>
          </w:p>
        </w:tc>
      </w:tr>
      <w:tr w:rsidR="005F27A1" w:rsidTr="00F801E1">
        <w:trPr>
          <w:trHeight w:val="1134"/>
        </w:trPr>
        <w:tc>
          <w:tcPr>
            <w:tcW w:w="2407" w:type="dxa"/>
            <w:vAlign w:val="center"/>
          </w:tcPr>
          <w:p w:rsidR="005F27A1" w:rsidRDefault="005F27A1" w:rsidP="00F801E1">
            <w:r>
              <w:t>Valeurs</w:t>
            </w:r>
          </w:p>
        </w:tc>
        <w:tc>
          <w:tcPr>
            <w:tcW w:w="2407" w:type="dxa"/>
            <w:vAlign w:val="center"/>
          </w:tcPr>
          <w:p w:rsidR="005F27A1" w:rsidRPr="00CA0645" w:rsidRDefault="005F27A1" w:rsidP="00F801E1">
            <w:pPr>
              <w:rPr>
                <w:color w:val="FF0000"/>
              </w:rPr>
            </w:pPr>
            <w:r w:rsidRPr="00CA0645">
              <w:rPr>
                <w:color w:val="FF0000"/>
              </w:rPr>
              <w:t>Répartition plus juste des richesses</w:t>
            </w:r>
          </w:p>
        </w:tc>
        <w:tc>
          <w:tcPr>
            <w:tcW w:w="2408" w:type="dxa"/>
            <w:vAlign w:val="center"/>
          </w:tcPr>
          <w:p w:rsidR="005F27A1" w:rsidRPr="00CA0645" w:rsidRDefault="005F27A1" w:rsidP="00F801E1">
            <w:pPr>
              <w:rPr>
                <w:color w:val="FF0000"/>
              </w:rPr>
            </w:pPr>
            <w:r w:rsidRPr="00CA0645">
              <w:rPr>
                <w:color w:val="FF0000"/>
              </w:rPr>
              <w:t>Égalité des chances, solidarité</w:t>
            </w:r>
          </w:p>
        </w:tc>
        <w:tc>
          <w:tcPr>
            <w:tcW w:w="2408" w:type="dxa"/>
            <w:vAlign w:val="center"/>
          </w:tcPr>
          <w:p w:rsidR="005F27A1" w:rsidRPr="00CA0645" w:rsidRDefault="005F27A1" w:rsidP="00F801E1">
            <w:pPr>
              <w:rPr>
                <w:color w:val="FF0000"/>
              </w:rPr>
            </w:pPr>
            <w:r w:rsidRPr="00CA0645">
              <w:rPr>
                <w:color w:val="FF0000"/>
              </w:rPr>
              <w:t>Défense de la liberté d'entreprendre</w:t>
            </w:r>
          </w:p>
        </w:tc>
      </w:tr>
      <w:tr w:rsidR="005F27A1" w:rsidTr="00F801E1">
        <w:trPr>
          <w:trHeight w:val="1134"/>
        </w:trPr>
        <w:tc>
          <w:tcPr>
            <w:tcW w:w="2407" w:type="dxa"/>
            <w:vAlign w:val="center"/>
          </w:tcPr>
          <w:p w:rsidR="005F27A1" w:rsidRDefault="005F27A1" w:rsidP="00F801E1">
            <w:r>
              <w:t>Nombre de membres</w:t>
            </w:r>
          </w:p>
        </w:tc>
        <w:tc>
          <w:tcPr>
            <w:tcW w:w="2407" w:type="dxa"/>
            <w:vAlign w:val="center"/>
          </w:tcPr>
          <w:p w:rsidR="005F27A1" w:rsidRPr="00CA0645" w:rsidRDefault="005F27A1" w:rsidP="00F801E1">
            <w:pPr>
              <w:rPr>
                <w:color w:val="FF0000"/>
              </w:rPr>
            </w:pPr>
            <w:r w:rsidRPr="00CA0645">
              <w:rPr>
                <w:color w:val="FF0000"/>
              </w:rPr>
              <w:t>1,</w:t>
            </w:r>
            <w:r>
              <w:rPr>
                <w:color w:val="FF0000"/>
              </w:rPr>
              <w:t>6</w:t>
            </w:r>
            <w:r w:rsidRPr="00CA0645">
              <w:rPr>
                <w:color w:val="FF0000"/>
              </w:rPr>
              <w:t xml:space="preserve"> millions</w:t>
            </w:r>
          </w:p>
        </w:tc>
        <w:tc>
          <w:tcPr>
            <w:tcW w:w="2408" w:type="dxa"/>
            <w:vAlign w:val="center"/>
          </w:tcPr>
          <w:p w:rsidR="005F27A1" w:rsidRPr="00CA0645" w:rsidRDefault="005F27A1" w:rsidP="00F801E1">
            <w:pPr>
              <w:rPr>
                <w:color w:val="FF0000"/>
              </w:rPr>
            </w:pPr>
            <w:r w:rsidRPr="00CA0645">
              <w:rPr>
                <w:color w:val="FF0000"/>
              </w:rPr>
              <w:t>1</w:t>
            </w:r>
            <w:r>
              <w:rPr>
                <w:color w:val="FF0000"/>
              </w:rPr>
              <w:t>,5</w:t>
            </w:r>
            <w:r w:rsidRPr="00CA0645">
              <w:rPr>
                <w:color w:val="FF0000"/>
              </w:rPr>
              <w:t xml:space="preserve"> millions</w:t>
            </w:r>
          </w:p>
        </w:tc>
        <w:tc>
          <w:tcPr>
            <w:tcW w:w="2408" w:type="dxa"/>
            <w:vAlign w:val="center"/>
          </w:tcPr>
          <w:p w:rsidR="005F27A1" w:rsidRPr="00CA0645" w:rsidRDefault="005F27A1" w:rsidP="00F801E1">
            <w:pPr>
              <w:rPr>
                <w:color w:val="FF0000"/>
              </w:rPr>
            </w:pPr>
            <w:r w:rsidRPr="00CA0645">
              <w:rPr>
                <w:color w:val="FF0000"/>
              </w:rPr>
              <w:t>29</w:t>
            </w:r>
            <w:r>
              <w:rPr>
                <w:color w:val="FF0000"/>
              </w:rPr>
              <w:t>4</w:t>
            </w:r>
            <w:r w:rsidRPr="00CA0645">
              <w:rPr>
                <w:color w:val="FF0000"/>
              </w:rPr>
              <w:t xml:space="preserve"> 000</w:t>
            </w:r>
          </w:p>
        </w:tc>
      </w:tr>
    </w:tbl>
    <w:p w:rsidR="005F27A1" w:rsidRPr="00AA0619" w:rsidRDefault="005F27A1" w:rsidP="005F27A1">
      <w:pPr>
        <w:spacing w:before="240"/>
        <w:rPr>
          <w:b/>
        </w:rPr>
      </w:pPr>
      <w:r w:rsidRPr="00AA0619">
        <w:rPr>
          <w:b/>
        </w:rPr>
        <w:lastRenderedPageBreak/>
        <w:t>T</w:t>
      </w:r>
      <w:r w:rsidR="00AA0619">
        <w:rPr>
          <w:b/>
        </w:rPr>
        <w:t>âches d</w:t>
      </w:r>
      <w:r w:rsidRPr="00AA0619">
        <w:rPr>
          <w:b/>
        </w:rPr>
        <w:t>es syndicats :</w:t>
      </w:r>
    </w:p>
    <w:p w:rsidR="005F27A1" w:rsidRDefault="005F27A1" w:rsidP="005F27A1">
      <w:pPr>
        <w:pStyle w:val="Professeur"/>
      </w:pPr>
      <w:r>
        <w:t>Aider les personnes qui ont perdu leur travail à accéder à leur droit au chômage</w:t>
      </w:r>
    </w:p>
    <w:p w:rsidR="005F27A1" w:rsidRDefault="005F27A1" w:rsidP="005F27A1">
      <w:pPr>
        <w:pStyle w:val="Professeur"/>
      </w:pPr>
      <w:r>
        <w:t>Défendre les travailleurs lors de litiges avec leur patron. Informer les travailleurs sur leurs droits et leurs devoirs. Défendre les acquis sociaux de tous les travailleurs. Ils sont reconnus comme étant les interlocuteurs du patronat.</w:t>
      </w:r>
    </w:p>
    <w:p w:rsidR="005F27A1" w:rsidRPr="00820252" w:rsidRDefault="005F27A1" w:rsidP="005F27A1">
      <w:pPr>
        <w:pStyle w:val="Titre2"/>
      </w:pPr>
      <w:bookmarkStart w:id="7" w:name="_Toc490659741"/>
      <w:r w:rsidRPr="00820252">
        <w:t>La concertation sociale</w:t>
      </w:r>
      <w:bookmarkEnd w:id="7"/>
      <w:r w:rsidRPr="00820252">
        <w:t xml:space="preserve"> </w:t>
      </w:r>
    </w:p>
    <w:p w:rsidR="00F17AAE" w:rsidRDefault="00F17AAE" w:rsidP="005F27A1">
      <w:pPr>
        <w:rPr>
          <w:rFonts w:ascii="Calibri" w:hAnsi="Calibri"/>
        </w:rPr>
      </w:pPr>
    </w:p>
    <w:p w:rsidR="005F27A1" w:rsidRPr="00F17AAE" w:rsidRDefault="005F27A1" w:rsidP="00F17AAE">
      <w:pPr>
        <w:pStyle w:val="Paragraphedeliste"/>
        <w:numPr>
          <w:ilvl w:val="0"/>
          <w:numId w:val="7"/>
        </w:numPr>
        <w:rPr>
          <w:b/>
        </w:rPr>
      </w:pPr>
      <w:r w:rsidRPr="00F17AAE">
        <w:rPr>
          <w:b/>
        </w:rPr>
        <w:t>Les trois grands acteurs de la concertation sociale</w:t>
      </w:r>
      <w:r w:rsidR="00AA0619" w:rsidRPr="00F17AAE">
        <w:rPr>
          <w:b/>
        </w:rPr>
        <w:t> :</w:t>
      </w:r>
    </w:p>
    <w:p w:rsidR="005F27A1" w:rsidRDefault="005F27A1" w:rsidP="005F27A1">
      <w:pPr>
        <w:pStyle w:val="Professeur"/>
      </w:pPr>
      <w:r>
        <w:t xml:space="preserve">L'état, les patrons, les travailleurs (les syndicats) </w:t>
      </w:r>
      <w:r>
        <w:sym w:font="Wingdings" w:char="F0E0"/>
      </w:r>
      <w:r>
        <w:t xml:space="preserve"> trois parties = tripartite</w:t>
      </w:r>
    </w:p>
    <w:p w:rsidR="005F27A1" w:rsidRPr="00F17AAE" w:rsidRDefault="00AA0619" w:rsidP="00F17AAE">
      <w:pPr>
        <w:pStyle w:val="Paragraphedeliste"/>
        <w:numPr>
          <w:ilvl w:val="0"/>
          <w:numId w:val="7"/>
        </w:numPr>
        <w:rPr>
          <w:b/>
        </w:rPr>
      </w:pPr>
      <w:r w:rsidRPr="00F17AAE">
        <w:rPr>
          <w:b/>
        </w:rPr>
        <w:t>L</w:t>
      </w:r>
      <w:r w:rsidR="005F27A1" w:rsidRPr="00F17AAE">
        <w:rPr>
          <w:b/>
        </w:rPr>
        <w:t>es avantages de la concertation sociale pour chacune des parties.</w:t>
      </w:r>
    </w:p>
    <w:p w:rsidR="005F27A1" w:rsidRDefault="005F27A1" w:rsidP="005F27A1">
      <w:pPr>
        <w:pStyle w:val="Professeur"/>
      </w:pPr>
      <w:r>
        <w:t xml:space="preserve">Les patrons </w:t>
      </w:r>
      <w:r>
        <w:sym w:font="Wingdings" w:char="F0E0"/>
      </w:r>
      <w:r>
        <w:t xml:space="preserve"> la paix sociale = pas de grève, l'économie fonctionne</w:t>
      </w:r>
    </w:p>
    <w:p w:rsidR="005F27A1" w:rsidRDefault="005F27A1" w:rsidP="005F27A1">
      <w:pPr>
        <w:pStyle w:val="Professeur"/>
      </w:pPr>
      <w:r>
        <w:t xml:space="preserve">L'état </w:t>
      </w:r>
      <w:r>
        <w:sym w:font="Wingdings" w:char="F0E0"/>
      </w:r>
      <w:r>
        <w:t xml:space="preserve"> la paix sociale = tout le monde est content</w:t>
      </w:r>
    </w:p>
    <w:p w:rsidR="005F27A1" w:rsidRPr="00F17AAE" w:rsidRDefault="005F27A1" w:rsidP="00F17AAE">
      <w:pPr>
        <w:pStyle w:val="Professeur"/>
      </w:pPr>
      <w:r>
        <w:t xml:space="preserve">Les travailleurs </w:t>
      </w:r>
      <w:r>
        <w:sym w:font="Wingdings" w:char="F0E0"/>
      </w:r>
      <w:r>
        <w:t xml:space="preserve"> une répartition équitable des richesses produites [signifie (en théorie) que les salaires augmentent quand le profit des entreprises augmente] </w:t>
      </w:r>
    </w:p>
    <w:p w:rsidR="005F27A1" w:rsidRPr="00F17AAE" w:rsidRDefault="005F27A1" w:rsidP="00F17AAE">
      <w:pPr>
        <w:pStyle w:val="Paragraphedeliste"/>
        <w:numPr>
          <w:ilvl w:val="0"/>
          <w:numId w:val="7"/>
        </w:numPr>
        <w:rPr>
          <w:b/>
          <w:bCs/>
        </w:rPr>
      </w:pPr>
      <w:r w:rsidRPr="00F17AAE">
        <w:rPr>
          <w:b/>
          <w:bCs/>
        </w:rPr>
        <w:t>En Belgique, la concertation sociale est organisée selon plusieurs niveaux:</w:t>
      </w:r>
    </w:p>
    <w:p w:rsidR="005F27A1" w:rsidRDefault="005F27A1" w:rsidP="005F27A1">
      <w:pPr>
        <w:pStyle w:val="Paragraphedeliste"/>
        <w:numPr>
          <w:ilvl w:val="0"/>
          <w:numId w:val="3"/>
        </w:numPr>
        <w:rPr>
          <w:b/>
          <w:bCs/>
        </w:rPr>
      </w:pPr>
      <w:r>
        <w:rPr>
          <w:b/>
          <w:bCs/>
        </w:rPr>
        <w:t>au niveau fédéral, pour toutes les entreprises de Belgique</w:t>
      </w:r>
    </w:p>
    <w:p w:rsidR="005F27A1" w:rsidRDefault="005F27A1" w:rsidP="005F27A1">
      <w:pPr>
        <w:pStyle w:val="Paragraphedeliste"/>
        <w:numPr>
          <w:ilvl w:val="0"/>
          <w:numId w:val="3"/>
        </w:numPr>
        <w:rPr>
          <w:b/>
          <w:bCs/>
        </w:rPr>
      </w:pPr>
      <w:r>
        <w:rPr>
          <w:b/>
          <w:bCs/>
        </w:rPr>
        <w:t>au niveau sectoriel, les entreprises se regroupent par secteur en commissions paritaires</w:t>
      </w:r>
    </w:p>
    <w:p w:rsidR="005F27A1" w:rsidRDefault="005F27A1" w:rsidP="005F27A1">
      <w:pPr>
        <w:pStyle w:val="Paragraphedeliste"/>
        <w:numPr>
          <w:ilvl w:val="0"/>
          <w:numId w:val="3"/>
        </w:numPr>
        <w:rPr>
          <w:b/>
          <w:bCs/>
        </w:rPr>
      </w:pPr>
      <w:r>
        <w:rPr>
          <w:b/>
          <w:bCs/>
        </w:rPr>
        <w:t>au niveau de l'entreprise, entre le patron et ses travailleurs</w:t>
      </w:r>
    </w:p>
    <w:p w:rsidR="005F27A1" w:rsidRPr="002156B9" w:rsidRDefault="005F27A1" w:rsidP="005F27A1">
      <w:pPr>
        <w:rPr>
          <w:b/>
          <w:bCs/>
        </w:rPr>
      </w:pPr>
      <w:r>
        <w:br w:type="page"/>
      </w:r>
    </w:p>
    <w:p w:rsidR="005F27A1" w:rsidRDefault="005F27A1" w:rsidP="005F27A1">
      <w:pPr>
        <w:pStyle w:val="Titre2"/>
        <w:jc w:val="left"/>
      </w:pPr>
      <w:bookmarkStart w:id="8" w:name="_Toc420413015"/>
      <w:bookmarkStart w:id="9" w:name="_Toc490659742"/>
      <w:r>
        <w:lastRenderedPageBreak/>
        <w:t>Le dialogue social au niveau fédéral</w:t>
      </w:r>
      <w:bookmarkEnd w:id="8"/>
      <w:bookmarkEnd w:id="9"/>
    </w:p>
    <w:p w:rsidR="005F27A1" w:rsidRDefault="005F27A1" w:rsidP="005F27A1">
      <w:pPr>
        <w:spacing w:after="0"/>
        <w:jc w:val="left"/>
      </w:pPr>
    </w:p>
    <w:tbl>
      <w:tblPr>
        <w:tblStyle w:val="Grilledutableau"/>
        <w:tblW w:w="9776" w:type="dxa"/>
        <w:tblLook w:val="04A0" w:firstRow="1" w:lastRow="0" w:firstColumn="1" w:lastColumn="0" w:noHBand="0" w:noVBand="1"/>
      </w:tblPr>
      <w:tblGrid>
        <w:gridCol w:w="3258"/>
        <w:gridCol w:w="3259"/>
        <w:gridCol w:w="3259"/>
      </w:tblGrid>
      <w:tr w:rsidR="005F27A1" w:rsidRPr="00B57CC7" w:rsidTr="00F801E1">
        <w:trPr>
          <w:trHeight w:val="624"/>
        </w:trPr>
        <w:tc>
          <w:tcPr>
            <w:tcW w:w="3258" w:type="dxa"/>
            <w:vAlign w:val="center"/>
          </w:tcPr>
          <w:p w:rsidR="005F27A1" w:rsidRPr="00B57CC7" w:rsidRDefault="005F27A1" w:rsidP="00F801E1">
            <w:pPr>
              <w:autoSpaceDE w:val="0"/>
              <w:autoSpaceDN w:val="0"/>
              <w:adjustRightInd w:val="0"/>
              <w:jc w:val="center"/>
              <w:rPr>
                <w:rFonts w:ascii="Verdana" w:hAnsi="Verdana" w:cs="Verdana"/>
                <w:sz w:val="20"/>
                <w:szCs w:val="20"/>
              </w:rPr>
            </w:pPr>
            <w:r w:rsidRPr="00B57CC7">
              <w:rPr>
                <w:rFonts w:ascii="Verdana" w:hAnsi="Verdana" w:cs="Verdana"/>
                <w:sz w:val="20"/>
                <w:szCs w:val="20"/>
              </w:rPr>
              <w:t>Conseil central de l’économie (CCE)</w:t>
            </w:r>
          </w:p>
        </w:tc>
        <w:tc>
          <w:tcPr>
            <w:tcW w:w="3259" w:type="dxa"/>
            <w:vAlign w:val="center"/>
          </w:tcPr>
          <w:p w:rsidR="005F27A1" w:rsidRPr="00B57CC7" w:rsidRDefault="005F27A1" w:rsidP="00F801E1">
            <w:pPr>
              <w:autoSpaceDE w:val="0"/>
              <w:autoSpaceDN w:val="0"/>
              <w:adjustRightInd w:val="0"/>
              <w:jc w:val="center"/>
              <w:rPr>
                <w:rFonts w:ascii="Verdana" w:hAnsi="Verdana" w:cs="Verdana"/>
                <w:sz w:val="20"/>
                <w:szCs w:val="20"/>
              </w:rPr>
            </w:pPr>
            <w:r w:rsidRPr="00B57CC7">
              <w:rPr>
                <w:rFonts w:ascii="Verdana" w:hAnsi="Verdana" w:cs="Verdana"/>
                <w:sz w:val="20"/>
                <w:szCs w:val="20"/>
              </w:rPr>
              <w:t>Groupe des dix</w:t>
            </w:r>
            <w:r>
              <w:rPr>
                <w:rFonts w:ascii="Verdana" w:hAnsi="Verdana" w:cs="Verdana"/>
                <w:sz w:val="20"/>
                <w:szCs w:val="20"/>
              </w:rPr>
              <w:t xml:space="preserve"> (G10)</w:t>
            </w:r>
          </w:p>
        </w:tc>
        <w:tc>
          <w:tcPr>
            <w:tcW w:w="3259" w:type="dxa"/>
            <w:vAlign w:val="center"/>
          </w:tcPr>
          <w:p w:rsidR="005F27A1" w:rsidRPr="00B57CC7" w:rsidRDefault="005F27A1" w:rsidP="00F801E1">
            <w:pPr>
              <w:autoSpaceDE w:val="0"/>
              <w:autoSpaceDN w:val="0"/>
              <w:adjustRightInd w:val="0"/>
              <w:jc w:val="center"/>
              <w:rPr>
                <w:rFonts w:ascii="Verdana" w:hAnsi="Verdana" w:cs="Verdana"/>
                <w:sz w:val="20"/>
                <w:szCs w:val="20"/>
              </w:rPr>
            </w:pPr>
            <w:r w:rsidRPr="00B57CC7">
              <w:rPr>
                <w:rFonts w:ascii="Verdana" w:hAnsi="Verdana" w:cs="Verdana"/>
                <w:sz w:val="20"/>
                <w:szCs w:val="20"/>
              </w:rPr>
              <w:t>Conseil national du travail (CNT)</w:t>
            </w:r>
          </w:p>
        </w:tc>
      </w:tr>
      <w:tr w:rsidR="005F27A1" w:rsidRPr="00B57CC7" w:rsidTr="00F801E1">
        <w:trPr>
          <w:trHeight w:val="3402"/>
        </w:trPr>
        <w:tc>
          <w:tcPr>
            <w:tcW w:w="3258" w:type="dxa"/>
            <w:vAlign w:val="center"/>
          </w:tcPr>
          <w:p w:rsidR="005F27A1" w:rsidRDefault="005F27A1" w:rsidP="00F801E1">
            <w:pPr>
              <w:autoSpaceDE w:val="0"/>
              <w:autoSpaceDN w:val="0"/>
              <w:adjustRightInd w:val="0"/>
              <w:jc w:val="left"/>
              <w:rPr>
                <w:rFonts w:ascii="Verdana" w:hAnsi="Verdana" w:cs="Verdana"/>
                <w:sz w:val="20"/>
                <w:szCs w:val="20"/>
              </w:rPr>
            </w:pPr>
            <w:r>
              <w:rPr>
                <w:rFonts w:ascii="Verdana" w:hAnsi="Verdana" w:cs="Verdana"/>
                <w:sz w:val="20"/>
                <w:szCs w:val="20"/>
              </w:rPr>
              <w:t xml:space="preserve">Donne des </w:t>
            </w:r>
            <w:r w:rsidRPr="009676D4">
              <w:rPr>
                <w:rFonts w:ascii="Verdana" w:hAnsi="Verdana" w:cs="Verdana"/>
                <w:b/>
                <w:sz w:val="20"/>
                <w:szCs w:val="20"/>
              </w:rPr>
              <w:t>avis</w:t>
            </w:r>
            <w:r>
              <w:rPr>
                <w:rFonts w:ascii="Verdana" w:hAnsi="Verdana" w:cs="Verdana"/>
                <w:sz w:val="20"/>
                <w:szCs w:val="20"/>
              </w:rPr>
              <w:t xml:space="preserve"> sur la situation économique (comparaison de l’évolution des coûts salariaux de la Belgique et des 3 pays voisins (France, Allemagne, Pays-Bas)) pour la fixation des marges de négociation pour l’augmentation des salaires avant la négociation interprofessionnelle (voir groupe des 10)</w:t>
            </w:r>
          </w:p>
          <w:p w:rsidR="005F27A1" w:rsidRPr="00B57CC7" w:rsidRDefault="005F27A1" w:rsidP="00F801E1">
            <w:pPr>
              <w:autoSpaceDE w:val="0"/>
              <w:autoSpaceDN w:val="0"/>
              <w:adjustRightInd w:val="0"/>
              <w:rPr>
                <w:rFonts w:ascii="Verdana" w:hAnsi="Verdana" w:cs="Verdana"/>
                <w:sz w:val="20"/>
                <w:szCs w:val="20"/>
              </w:rPr>
            </w:pPr>
          </w:p>
        </w:tc>
        <w:tc>
          <w:tcPr>
            <w:tcW w:w="3259" w:type="dxa"/>
            <w:vAlign w:val="center"/>
          </w:tcPr>
          <w:p w:rsidR="005F27A1" w:rsidRDefault="005F27A1" w:rsidP="00F801E1">
            <w:pPr>
              <w:autoSpaceDE w:val="0"/>
              <w:autoSpaceDN w:val="0"/>
              <w:adjustRightInd w:val="0"/>
              <w:jc w:val="left"/>
              <w:rPr>
                <w:rFonts w:ascii="Verdana" w:hAnsi="Verdana" w:cs="Verdana"/>
                <w:sz w:val="20"/>
                <w:szCs w:val="20"/>
              </w:rPr>
            </w:pPr>
            <w:r>
              <w:rPr>
                <w:rFonts w:ascii="Verdana" w:hAnsi="Verdana" w:cs="Verdana"/>
                <w:sz w:val="20"/>
                <w:szCs w:val="20"/>
              </w:rPr>
              <w:t>-Est consulté de manière informelle par le gouvernement;</w:t>
            </w:r>
          </w:p>
          <w:p w:rsidR="005F27A1" w:rsidRDefault="005F27A1" w:rsidP="00F801E1">
            <w:pPr>
              <w:autoSpaceDE w:val="0"/>
              <w:autoSpaceDN w:val="0"/>
              <w:adjustRightInd w:val="0"/>
              <w:jc w:val="left"/>
              <w:rPr>
                <w:rFonts w:ascii="Verdana" w:hAnsi="Verdana" w:cs="Verdana"/>
                <w:sz w:val="20"/>
                <w:szCs w:val="20"/>
              </w:rPr>
            </w:pPr>
          </w:p>
          <w:p w:rsidR="005F27A1" w:rsidRDefault="005F27A1" w:rsidP="00F801E1">
            <w:pPr>
              <w:autoSpaceDE w:val="0"/>
              <w:autoSpaceDN w:val="0"/>
              <w:adjustRightInd w:val="0"/>
              <w:jc w:val="left"/>
              <w:rPr>
                <w:rFonts w:ascii="Verdana" w:hAnsi="Verdana" w:cs="Verdana"/>
                <w:sz w:val="20"/>
                <w:szCs w:val="20"/>
              </w:rPr>
            </w:pPr>
            <w:r>
              <w:rPr>
                <w:rFonts w:ascii="Verdana" w:hAnsi="Verdana" w:cs="Verdana"/>
                <w:sz w:val="20"/>
                <w:szCs w:val="20"/>
              </w:rPr>
              <w:t>-Les négociateurs en chef du patronat et des syndicats négocient, tous les 2 ans, des accords interprofessionnels (</w:t>
            </w:r>
            <w:r w:rsidRPr="009676D4">
              <w:rPr>
                <w:rFonts w:ascii="Verdana" w:hAnsi="Verdana" w:cs="Verdana"/>
                <w:b/>
                <w:sz w:val="20"/>
                <w:szCs w:val="20"/>
              </w:rPr>
              <w:t>AIP</w:t>
            </w:r>
            <w:r>
              <w:rPr>
                <w:rFonts w:ascii="Verdana" w:hAnsi="Verdana" w:cs="Verdana"/>
                <w:sz w:val="20"/>
                <w:szCs w:val="20"/>
              </w:rPr>
              <w:t xml:space="preserve">) à l’échelle du pays et valables pour tout le secteur privé. </w:t>
            </w:r>
          </w:p>
          <w:p w:rsidR="005F27A1" w:rsidRPr="00B57CC7" w:rsidRDefault="005F27A1" w:rsidP="00F801E1">
            <w:pPr>
              <w:autoSpaceDE w:val="0"/>
              <w:autoSpaceDN w:val="0"/>
              <w:adjustRightInd w:val="0"/>
              <w:jc w:val="left"/>
              <w:rPr>
                <w:rFonts w:ascii="Verdana" w:hAnsi="Verdana" w:cs="Verdana"/>
                <w:sz w:val="20"/>
                <w:szCs w:val="20"/>
              </w:rPr>
            </w:pPr>
          </w:p>
        </w:tc>
        <w:tc>
          <w:tcPr>
            <w:tcW w:w="3259" w:type="dxa"/>
            <w:vAlign w:val="center"/>
          </w:tcPr>
          <w:p w:rsidR="005F27A1" w:rsidRDefault="005F27A1" w:rsidP="00F801E1">
            <w:pPr>
              <w:autoSpaceDE w:val="0"/>
              <w:autoSpaceDN w:val="0"/>
              <w:adjustRightInd w:val="0"/>
              <w:jc w:val="left"/>
              <w:rPr>
                <w:rFonts w:ascii="Verdana" w:hAnsi="Verdana" w:cs="Verdana"/>
                <w:sz w:val="20"/>
                <w:szCs w:val="20"/>
              </w:rPr>
            </w:pPr>
            <w:r>
              <w:rPr>
                <w:rFonts w:ascii="Verdana" w:hAnsi="Verdana" w:cs="Verdana"/>
                <w:sz w:val="20"/>
                <w:szCs w:val="20"/>
              </w:rPr>
              <w:t>-Donne des avis en matière sociale;</w:t>
            </w:r>
            <w:r>
              <w:rPr>
                <w:rFonts w:ascii="Verdana" w:hAnsi="Verdana" w:cs="Verdana"/>
                <w:sz w:val="20"/>
                <w:szCs w:val="20"/>
              </w:rPr>
              <w:br/>
            </w:r>
          </w:p>
          <w:p w:rsidR="005F27A1" w:rsidRDefault="005F27A1" w:rsidP="00F801E1">
            <w:pPr>
              <w:autoSpaceDE w:val="0"/>
              <w:autoSpaceDN w:val="0"/>
              <w:adjustRightInd w:val="0"/>
              <w:jc w:val="left"/>
              <w:rPr>
                <w:rFonts w:ascii="Verdana" w:hAnsi="Verdana" w:cs="Verdana"/>
                <w:sz w:val="20"/>
                <w:szCs w:val="20"/>
              </w:rPr>
            </w:pPr>
            <w:r>
              <w:rPr>
                <w:rFonts w:ascii="Verdana" w:hAnsi="Verdana" w:cs="Verdana"/>
                <w:sz w:val="20"/>
                <w:szCs w:val="20"/>
              </w:rPr>
              <w:t>-Conclut des Conventions Collectives de Travail (</w:t>
            </w:r>
            <w:r w:rsidRPr="009676D4">
              <w:rPr>
                <w:rFonts w:ascii="Verdana" w:hAnsi="Verdana" w:cs="Verdana"/>
                <w:b/>
                <w:sz w:val="20"/>
                <w:szCs w:val="20"/>
              </w:rPr>
              <w:t>CCT</w:t>
            </w:r>
            <w:r>
              <w:rPr>
                <w:rFonts w:ascii="Verdana" w:hAnsi="Verdana" w:cs="Verdana"/>
                <w:sz w:val="20"/>
                <w:szCs w:val="20"/>
              </w:rPr>
              <w:t xml:space="preserve">) qui </w:t>
            </w:r>
            <w:proofErr w:type="gramStart"/>
            <w:r>
              <w:rPr>
                <w:rFonts w:ascii="Verdana" w:hAnsi="Verdana" w:cs="Verdana"/>
                <w:sz w:val="20"/>
                <w:szCs w:val="20"/>
              </w:rPr>
              <w:t>ont</w:t>
            </w:r>
            <w:proofErr w:type="gramEnd"/>
            <w:r>
              <w:rPr>
                <w:rFonts w:ascii="Verdana" w:hAnsi="Verdana" w:cs="Verdana"/>
                <w:sz w:val="20"/>
                <w:szCs w:val="20"/>
              </w:rPr>
              <w:t xml:space="preserve"> force de loi pour tout le secteur privé (prépensions, salaire minimal interprofessionnel …) sur base des accords interprofessionnels.</w:t>
            </w:r>
          </w:p>
          <w:p w:rsidR="005F27A1" w:rsidRPr="00B57CC7" w:rsidRDefault="005F27A1" w:rsidP="00F801E1">
            <w:pPr>
              <w:autoSpaceDE w:val="0"/>
              <w:autoSpaceDN w:val="0"/>
              <w:adjustRightInd w:val="0"/>
              <w:rPr>
                <w:rFonts w:ascii="Verdana" w:hAnsi="Verdana" w:cs="Verdana"/>
                <w:sz w:val="20"/>
                <w:szCs w:val="20"/>
              </w:rPr>
            </w:pPr>
          </w:p>
        </w:tc>
      </w:tr>
    </w:tbl>
    <w:p w:rsidR="005F27A1" w:rsidRDefault="005F27A1" w:rsidP="005F27A1">
      <w:pPr>
        <w:rPr>
          <w:rFonts w:ascii="TwCenMTCondensedExtraBold" w:hAnsi="TwCenMTCondensedExtraBold" w:cs="TwCenMTCondensedExtraBold"/>
          <w:b/>
          <w:bCs/>
          <w:sz w:val="18"/>
          <w:szCs w:val="18"/>
        </w:rPr>
      </w:pPr>
      <w:r>
        <w:rPr>
          <w:rFonts w:ascii="TwCenMTCondensedExtraBold" w:hAnsi="TwCenMTCondensedExtraBold" w:cs="TwCenMTCondensedExtraBold"/>
          <w:b/>
          <w:bCs/>
          <w:sz w:val="18"/>
          <w:szCs w:val="18"/>
        </w:rPr>
        <w:t xml:space="preserve">Source : Extrait d’Art d’Eco </w:t>
      </w:r>
      <w:proofErr w:type="gramStart"/>
      <w:r>
        <w:rPr>
          <w:rFonts w:ascii="TwCenMTCondensedExtraBold" w:hAnsi="TwCenMTCondensedExtraBold" w:cs="TwCenMTCondensedExtraBold"/>
          <w:b/>
          <w:bCs/>
          <w:sz w:val="18"/>
          <w:szCs w:val="18"/>
        </w:rPr>
        <w:t>4</w:t>
      </w:r>
      <w:r w:rsidRPr="00B57CC7">
        <w:rPr>
          <w:rFonts w:ascii="TwCenMTCondensedExtraBold" w:hAnsi="TwCenMTCondensedExtraBold" w:cs="TwCenMTCondensedExtraBold"/>
          <w:b/>
          <w:bCs/>
          <w:sz w:val="18"/>
          <w:szCs w:val="18"/>
          <w:vertAlign w:val="superscript"/>
        </w:rPr>
        <w:t>e</w:t>
      </w:r>
      <w:r>
        <w:rPr>
          <w:rFonts w:ascii="TwCenMTCondensedExtraBold" w:hAnsi="TwCenMTCondensedExtraBold" w:cs="TwCenMTCondensedExtraBold"/>
          <w:b/>
          <w:bCs/>
          <w:sz w:val="18"/>
          <w:szCs w:val="18"/>
        </w:rPr>
        <w:t xml:space="preserve"> ,</w:t>
      </w:r>
      <w:proofErr w:type="gramEnd"/>
      <w:r>
        <w:rPr>
          <w:rFonts w:ascii="TwCenMTCondensedExtraBold" w:hAnsi="TwCenMTCondensedExtraBold" w:cs="TwCenMTCondensedExtraBold"/>
          <w:b/>
          <w:bCs/>
          <w:sz w:val="18"/>
          <w:szCs w:val="18"/>
        </w:rPr>
        <w:t xml:space="preserve"> éd. Van In, page 204</w:t>
      </w:r>
    </w:p>
    <w:p w:rsidR="00544FEA" w:rsidRPr="00544FEA" w:rsidRDefault="00544FEA" w:rsidP="005F27A1">
      <w:pPr>
        <w:rPr>
          <w:rFonts w:ascii="TwCenMTCondensedExtraBold" w:hAnsi="TwCenMTCondensedExtraBold" w:cs="TwCenMTCondensedExtraBold"/>
          <w:b/>
          <w:bCs/>
          <w:sz w:val="24"/>
          <w:szCs w:val="24"/>
        </w:rPr>
      </w:pPr>
      <w:r w:rsidRPr="00544FEA">
        <w:rPr>
          <w:rFonts w:ascii="TwCenMTCondensedExtraBold" w:hAnsi="TwCenMTCondensedExtraBold" w:cs="TwCenMTCondensedExtraBold"/>
          <w:b/>
          <w:bCs/>
          <w:sz w:val="24"/>
          <w:szCs w:val="24"/>
        </w:rPr>
        <w:t xml:space="preserve">Afin de comprendre le dialogue </w:t>
      </w:r>
      <w:proofErr w:type="gramStart"/>
      <w:r w:rsidRPr="00544FEA">
        <w:rPr>
          <w:rFonts w:ascii="TwCenMTCondensedExtraBold" w:hAnsi="TwCenMTCondensedExtraBold" w:cs="TwCenMTCondensedExtraBold"/>
          <w:b/>
          <w:bCs/>
          <w:sz w:val="24"/>
          <w:szCs w:val="24"/>
        </w:rPr>
        <w:t>sociale</w:t>
      </w:r>
      <w:proofErr w:type="gramEnd"/>
      <w:r w:rsidRPr="00544FEA">
        <w:rPr>
          <w:rFonts w:ascii="TwCenMTCondensedExtraBold" w:hAnsi="TwCenMTCondensedExtraBold" w:cs="TwCenMTCondensedExtraBold"/>
          <w:b/>
          <w:bCs/>
          <w:sz w:val="24"/>
          <w:szCs w:val="24"/>
        </w:rPr>
        <w:t xml:space="preserve"> au niveau fédéral, vous disposez  des questions et réponses suivantes</w:t>
      </w:r>
      <w:r>
        <w:rPr>
          <w:rFonts w:ascii="TwCenMTCondensedExtraBold" w:hAnsi="TwCenMTCondensedExtraBold" w:cs="TwCenMTCondensedExtraBold"/>
          <w:b/>
          <w:bCs/>
          <w:sz w:val="24"/>
          <w:szCs w:val="24"/>
        </w:rPr>
        <w:t> :</w:t>
      </w:r>
    </w:p>
    <w:p w:rsidR="005F27A1" w:rsidRDefault="005F27A1" w:rsidP="00AA0619">
      <w:pPr>
        <w:pStyle w:val="Paragraphedeliste"/>
        <w:numPr>
          <w:ilvl w:val="0"/>
          <w:numId w:val="5"/>
        </w:numPr>
      </w:pPr>
      <w:r>
        <w:t>Qui donnera un avis sur la situation économique du pays?</w:t>
      </w:r>
    </w:p>
    <w:p w:rsidR="005F27A1" w:rsidRDefault="005F27A1" w:rsidP="005F27A1">
      <w:pPr>
        <w:pStyle w:val="Professeur"/>
      </w:pPr>
      <w:r>
        <w:t>La CCE</w:t>
      </w:r>
    </w:p>
    <w:p w:rsidR="005F27A1" w:rsidRDefault="005F27A1" w:rsidP="00AA0619">
      <w:pPr>
        <w:pStyle w:val="Paragraphedeliste"/>
        <w:numPr>
          <w:ilvl w:val="0"/>
          <w:numId w:val="5"/>
        </w:numPr>
      </w:pPr>
      <w:r>
        <w:t>Qui décidera de la mise en application concrète pour tout le secteur privé? Sous quelle forme?</w:t>
      </w:r>
    </w:p>
    <w:p w:rsidR="005F27A1" w:rsidRDefault="005F27A1" w:rsidP="005F27A1">
      <w:pPr>
        <w:pStyle w:val="Professeur"/>
      </w:pPr>
      <w:r>
        <w:t>Le CNT sous forme de CCT</w:t>
      </w:r>
    </w:p>
    <w:p w:rsidR="005F27A1" w:rsidRDefault="005F27A1" w:rsidP="00AA0619">
      <w:pPr>
        <w:pStyle w:val="Paragraphedeliste"/>
        <w:numPr>
          <w:ilvl w:val="0"/>
          <w:numId w:val="5"/>
        </w:numPr>
      </w:pPr>
      <w:r>
        <w:t>Qui donne les marges de manœuvre pour tout le secteur privé? Sous quelle forme?</w:t>
      </w:r>
    </w:p>
    <w:p w:rsidR="005F27A1" w:rsidRDefault="005F27A1" w:rsidP="005F27A1">
      <w:pPr>
        <w:pStyle w:val="Professeur"/>
      </w:pPr>
      <w:r>
        <w:t>Le G10 sous forme d'un AIP</w:t>
      </w:r>
    </w:p>
    <w:p w:rsidR="005F27A1" w:rsidRDefault="005F27A1" w:rsidP="00AA0619">
      <w:pPr>
        <w:pStyle w:val="Paragraphedeliste"/>
        <w:numPr>
          <w:ilvl w:val="0"/>
          <w:numId w:val="5"/>
        </w:numPr>
        <w:jc w:val="left"/>
      </w:pPr>
      <w:r>
        <w:t>Qu'est-ce qu'un AIP? Indique en toutes lettres et explique de quoi il s'agit.</w:t>
      </w:r>
    </w:p>
    <w:p w:rsidR="005F27A1" w:rsidRDefault="005F27A1" w:rsidP="005F27A1">
      <w:pPr>
        <w:pStyle w:val="Professeur"/>
      </w:pPr>
      <w:r>
        <w:t>Un accord interprofessionnel, valable pour l'ensemble du secteur privé, qui donne un cadre global dans lequel les relations collectives du travail peuvent évoluer. Il est valable 2 ans.</w:t>
      </w:r>
    </w:p>
    <w:p w:rsidR="005F27A1" w:rsidRDefault="005F27A1" w:rsidP="00AA0619">
      <w:pPr>
        <w:pStyle w:val="Paragraphedeliste"/>
        <w:numPr>
          <w:ilvl w:val="0"/>
          <w:numId w:val="5"/>
        </w:numPr>
      </w:pPr>
      <w:r>
        <w:t>Qu'est-ce qu'une Convention Collective de Travail (CCT)?</w:t>
      </w:r>
    </w:p>
    <w:p w:rsidR="005F27A1" w:rsidRDefault="005F27A1" w:rsidP="005F27A1">
      <w:pPr>
        <w:pStyle w:val="Professeur"/>
      </w:pPr>
      <w:r w:rsidRPr="008C76E9">
        <w:t>Une C</w:t>
      </w:r>
      <w:r>
        <w:t xml:space="preserve">onvention </w:t>
      </w:r>
      <w:r w:rsidRPr="008C76E9">
        <w:t>C</w:t>
      </w:r>
      <w:r>
        <w:t xml:space="preserve">ollective de </w:t>
      </w:r>
      <w:r w:rsidRPr="008C76E9">
        <w:t>T</w:t>
      </w:r>
      <w:r>
        <w:t xml:space="preserve">ravail </w:t>
      </w:r>
      <w:r w:rsidRPr="008C76E9">
        <w:t xml:space="preserve"> est un accord écrit, conclu entre deux organisations représentatives (travailleurs –</w:t>
      </w:r>
      <w:r>
        <w:t xml:space="preserve"> </w:t>
      </w:r>
      <w:r w:rsidRPr="008C76E9">
        <w:t>employeurs) et dont le contenu (droits et obligations) fixe les relations individuelles et</w:t>
      </w:r>
      <w:r>
        <w:t xml:space="preserve"> </w:t>
      </w:r>
      <w:r w:rsidRPr="008C76E9">
        <w:t>collectives entre travailleurs et employeurs.</w:t>
      </w:r>
    </w:p>
    <w:p w:rsidR="005F27A1" w:rsidRDefault="005F27A1" w:rsidP="005F27A1">
      <w:pPr>
        <w:pStyle w:val="Professeur"/>
      </w:pPr>
      <w:r>
        <w:t>Il en existe à tous les niveaux: fédéral (ou intersectoriel), sectoriel, (régional), de l'entreprise.</w:t>
      </w:r>
    </w:p>
    <w:p w:rsidR="005F27A1" w:rsidRDefault="005F27A1" w:rsidP="005F27A1">
      <w:r>
        <w:br w:type="page"/>
      </w:r>
    </w:p>
    <w:p w:rsidR="005F27A1" w:rsidRDefault="005F27A1" w:rsidP="005F27A1">
      <w:pPr>
        <w:pStyle w:val="Titre2"/>
        <w:jc w:val="left"/>
      </w:pPr>
      <w:bookmarkStart w:id="10" w:name="_Toc420413016"/>
      <w:bookmarkStart w:id="11" w:name="_Toc490659743"/>
      <w:r>
        <w:lastRenderedPageBreak/>
        <w:t>Le dialogue social au niveau sectoriel</w:t>
      </w:r>
      <w:bookmarkEnd w:id="10"/>
      <w:bookmarkEnd w:id="11"/>
    </w:p>
    <w:p w:rsidR="005F27A1" w:rsidRPr="002156B9" w:rsidRDefault="005F27A1" w:rsidP="005F27A1">
      <w:pPr>
        <w:pBdr>
          <w:top w:val="single" w:sz="4" w:space="1" w:color="auto"/>
          <w:left w:val="single" w:sz="4" w:space="4" w:color="auto"/>
          <w:bottom w:val="single" w:sz="4" w:space="1" w:color="auto"/>
          <w:right w:val="single" w:sz="4" w:space="4" w:color="auto"/>
        </w:pBdr>
        <w:spacing w:before="240"/>
        <w:rPr>
          <w:rFonts w:ascii="Calibri" w:hAnsi="Calibri"/>
        </w:rPr>
      </w:pPr>
      <w:r w:rsidRPr="002156B9">
        <w:rPr>
          <w:rFonts w:ascii="Calibri" w:hAnsi="Calibri"/>
        </w:rPr>
        <w:t xml:space="preserve">Les commissions paritaires </w:t>
      </w:r>
      <w:r>
        <w:rPr>
          <w:rFonts w:ascii="Calibri" w:hAnsi="Calibri"/>
        </w:rPr>
        <w:t>(</w:t>
      </w:r>
      <w:r>
        <w:rPr>
          <w:rStyle w:val="Appelnotedebasdep"/>
          <w:rFonts w:ascii="Calibri" w:hAnsi="Calibri"/>
        </w:rPr>
        <w:footnoteReference w:id="1"/>
      </w:r>
      <w:r>
        <w:rPr>
          <w:rFonts w:ascii="Calibri" w:hAnsi="Calibri"/>
        </w:rPr>
        <w:t xml:space="preserve">) </w:t>
      </w:r>
      <w:r w:rsidRPr="002156B9">
        <w:rPr>
          <w:rFonts w:ascii="Calibri" w:hAnsi="Calibri"/>
        </w:rPr>
        <w:t>sont constituées en nombre égal de représentants d'organisations patronales et de représentants d'organisations syndicales.</w:t>
      </w:r>
    </w:p>
    <w:p w:rsidR="005F27A1" w:rsidRPr="002156B9" w:rsidRDefault="005F27A1" w:rsidP="005F27A1">
      <w:pPr>
        <w:pBdr>
          <w:top w:val="single" w:sz="4" w:space="1" w:color="auto"/>
          <w:left w:val="single" w:sz="4" w:space="4" w:color="auto"/>
          <w:bottom w:val="single" w:sz="4" w:space="1" w:color="auto"/>
          <w:right w:val="single" w:sz="4" w:space="4" w:color="auto"/>
        </w:pBdr>
        <w:rPr>
          <w:rFonts w:ascii="Calibri" w:hAnsi="Calibri"/>
        </w:rPr>
      </w:pPr>
      <w:r w:rsidRPr="002156B9">
        <w:rPr>
          <w:rFonts w:ascii="Calibri" w:hAnsi="Calibri"/>
        </w:rPr>
        <w:t>Instituées pour toutes les branches d'activités, les commissions paritaires ont pour objectif de regrouper les entreprises exerçant des activités similaires afin de les soumettre à des règlements adaptés aux conditions de travail.</w:t>
      </w:r>
    </w:p>
    <w:p w:rsidR="005F27A1" w:rsidRPr="002156B9" w:rsidRDefault="005F27A1" w:rsidP="005F27A1">
      <w:pPr>
        <w:pBdr>
          <w:top w:val="single" w:sz="4" w:space="1" w:color="auto"/>
          <w:left w:val="single" w:sz="4" w:space="4" w:color="auto"/>
          <w:bottom w:val="single" w:sz="4" w:space="1" w:color="auto"/>
          <w:right w:val="single" w:sz="4" w:space="4" w:color="auto"/>
        </w:pBdr>
        <w:rPr>
          <w:rFonts w:ascii="Calibri" w:hAnsi="Calibri"/>
        </w:rPr>
      </w:pPr>
      <w:r w:rsidRPr="002156B9">
        <w:rPr>
          <w:rFonts w:ascii="Calibri" w:hAnsi="Calibri"/>
        </w:rPr>
        <w:t>Leurs missions sont les suivantes:</w:t>
      </w:r>
    </w:p>
    <w:p w:rsidR="005F27A1" w:rsidRPr="002156B9" w:rsidRDefault="005F27A1" w:rsidP="005F27A1">
      <w:pPr>
        <w:pStyle w:val="Paragraphedeliste"/>
        <w:numPr>
          <w:ilvl w:val="0"/>
          <w:numId w:val="4"/>
        </w:numPr>
        <w:pBdr>
          <w:top w:val="single" w:sz="4" w:space="1" w:color="auto"/>
          <w:left w:val="single" w:sz="4" w:space="4" w:color="auto"/>
          <w:bottom w:val="single" w:sz="4" w:space="1" w:color="auto"/>
          <w:right w:val="single" w:sz="4" w:space="4" w:color="auto"/>
        </w:pBdr>
        <w:ind w:left="567" w:hanging="567"/>
        <w:rPr>
          <w:rFonts w:ascii="Calibri" w:hAnsi="Calibri"/>
        </w:rPr>
      </w:pPr>
      <w:r w:rsidRPr="002156B9">
        <w:rPr>
          <w:rFonts w:ascii="Calibri" w:hAnsi="Calibri"/>
        </w:rPr>
        <w:t>conclure des conventions collectives de travail;</w:t>
      </w:r>
    </w:p>
    <w:p w:rsidR="005F27A1" w:rsidRPr="002156B9" w:rsidRDefault="005F27A1" w:rsidP="005F27A1">
      <w:pPr>
        <w:pStyle w:val="Paragraphedeliste"/>
        <w:numPr>
          <w:ilvl w:val="0"/>
          <w:numId w:val="4"/>
        </w:numPr>
        <w:pBdr>
          <w:top w:val="single" w:sz="4" w:space="1" w:color="auto"/>
          <w:left w:val="single" w:sz="4" w:space="4" w:color="auto"/>
          <w:bottom w:val="single" w:sz="4" w:space="1" w:color="auto"/>
          <w:right w:val="single" w:sz="4" w:space="4" w:color="auto"/>
        </w:pBdr>
        <w:ind w:left="567" w:hanging="567"/>
        <w:rPr>
          <w:rFonts w:ascii="Calibri" w:hAnsi="Calibri"/>
        </w:rPr>
      </w:pPr>
      <w:r w:rsidRPr="002156B9">
        <w:rPr>
          <w:rFonts w:ascii="Calibri" w:hAnsi="Calibri"/>
        </w:rPr>
        <w:t>prévenir ou régler des conflits sociaux;</w:t>
      </w:r>
    </w:p>
    <w:p w:rsidR="005F27A1" w:rsidRPr="002156B9" w:rsidRDefault="005F27A1" w:rsidP="005F27A1">
      <w:pPr>
        <w:pStyle w:val="Paragraphedeliste"/>
        <w:numPr>
          <w:ilvl w:val="0"/>
          <w:numId w:val="4"/>
        </w:numPr>
        <w:pBdr>
          <w:top w:val="single" w:sz="4" w:space="1" w:color="auto"/>
          <w:left w:val="single" w:sz="4" w:space="4" w:color="auto"/>
          <w:bottom w:val="single" w:sz="4" w:space="1" w:color="auto"/>
          <w:right w:val="single" w:sz="4" w:space="4" w:color="auto"/>
        </w:pBdr>
        <w:ind w:left="567" w:hanging="567"/>
        <w:rPr>
          <w:rFonts w:ascii="Calibri" w:hAnsi="Calibri"/>
        </w:rPr>
      </w:pPr>
      <w:r w:rsidRPr="002156B9">
        <w:rPr>
          <w:rFonts w:ascii="Calibri" w:hAnsi="Calibri"/>
        </w:rPr>
        <w:t>conseiller le gouvernement, le Conseil national du travail ou le Conseil central de l'économie;</w:t>
      </w:r>
    </w:p>
    <w:p w:rsidR="005F27A1" w:rsidRPr="002156B9" w:rsidRDefault="005F27A1" w:rsidP="005F27A1">
      <w:pPr>
        <w:pStyle w:val="Paragraphedeliste"/>
        <w:numPr>
          <w:ilvl w:val="0"/>
          <w:numId w:val="4"/>
        </w:numPr>
        <w:pBdr>
          <w:top w:val="single" w:sz="4" w:space="1" w:color="auto"/>
          <w:left w:val="single" w:sz="4" w:space="4" w:color="auto"/>
          <w:bottom w:val="single" w:sz="4" w:space="1" w:color="auto"/>
          <w:right w:val="single" w:sz="4" w:space="4" w:color="auto"/>
        </w:pBdr>
        <w:ind w:left="567" w:hanging="567"/>
        <w:rPr>
          <w:rFonts w:ascii="Calibri" w:hAnsi="Calibri"/>
        </w:rPr>
      </w:pPr>
      <w:r w:rsidRPr="002156B9">
        <w:rPr>
          <w:rFonts w:ascii="Calibri" w:hAnsi="Calibri"/>
        </w:rPr>
        <w:t>accomplir chaque mission qui leur est confiée par une loi.</w:t>
      </w:r>
    </w:p>
    <w:p w:rsidR="005F27A1" w:rsidRDefault="005F27A1" w:rsidP="005F27A1"/>
    <w:p w:rsidR="005F27A1" w:rsidRPr="00AA0619" w:rsidRDefault="00AA0619" w:rsidP="00AA0619">
      <w:pPr>
        <w:rPr>
          <w:b/>
        </w:rPr>
      </w:pPr>
      <w:r>
        <w:t xml:space="preserve"> </w:t>
      </w:r>
    </w:p>
    <w:p w:rsidR="005F27A1" w:rsidRDefault="005F27A1" w:rsidP="005F27A1">
      <w:pPr>
        <w:pStyle w:val="Titre2"/>
        <w:jc w:val="left"/>
      </w:pPr>
      <w:bookmarkStart w:id="12" w:name="_Toc420413017"/>
      <w:bookmarkStart w:id="13" w:name="_Toc490659744"/>
      <w:r>
        <w:t>Le dialogue social au sein de l'entreprise</w:t>
      </w:r>
      <w:bookmarkEnd w:id="12"/>
      <w:bookmarkEnd w:id="13"/>
    </w:p>
    <w:p w:rsidR="005F27A1" w:rsidRPr="00544FEA" w:rsidRDefault="00544FEA" w:rsidP="001D14CC">
      <w:pPr>
        <w:pStyle w:val="Paragraphedeliste"/>
        <w:numPr>
          <w:ilvl w:val="0"/>
          <w:numId w:val="6"/>
        </w:numPr>
      </w:pPr>
      <w:r w:rsidRPr="00544FEA">
        <w:t>L</w:t>
      </w:r>
      <w:r w:rsidR="00AA0619" w:rsidRPr="00544FEA">
        <w:t>es élections sociales</w:t>
      </w:r>
      <w:r w:rsidRPr="00544FEA">
        <w:t> :</w:t>
      </w:r>
    </w:p>
    <w:p w:rsidR="005F27A1" w:rsidRPr="00544FEA" w:rsidRDefault="005F27A1" w:rsidP="005F27A1">
      <w:pPr>
        <w:pStyle w:val="Professeur"/>
        <w:rPr>
          <w:color w:val="auto"/>
        </w:rPr>
      </w:pPr>
      <w:r w:rsidRPr="00544FEA">
        <w:rPr>
          <w:color w:val="auto"/>
        </w:rPr>
        <w:t>Des élections organisées au sein des entreprises de plus de 50 travailleurs pour élire les délégués syndicaux qui siègeront au CE et/ou CPPT</w:t>
      </w:r>
    </w:p>
    <w:p w:rsidR="005F27A1" w:rsidRPr="00544FEA" w:rsidRDefault="00544FEA" w:rsidP="001D14CC">
      <w:pPr>
        <w:pStyle w:val="Paragraphedeliste"/>
        <w:numPr>
          <w:ilvl w:val="0"/>
          <w:numId w:val="6"/>
        </w:numPr>
      </w:pPr>
      <w:r w:rsidRPr="00544FEA">
        <w:t>Dates des élections sociales :</w:t>
      </w:r>
    </w:p>
    <w:p w:rsidR="005F27A1" w:rsidRPr="00544FEA" w:rsidRDefault="005F27A1" w:rsidP="005F27A1">
      <w:pPr>
        <w:pStyle w:val="Professeur"/>
        <w:rPr>
          <w:color w:val="auto"/>
        </w:rPr>
      </w:pPr>
      <w:proofErr w:type="gramStart"/>
      <w:r w:rsidRPr="00544FEA">
        <w:rPr>
          <w:color w:val="auto"/>
        </w:rPr>
        <w:t>elles</w:t>
      </w:r>
      <w:proofErr w:type="gramEnd"/>
      <w:r w:rsidRPr="00544FEA">
        <w:rPr>
          <w:color w:val="auto"/>
        </w:rPr>
        <w:t xml:space="preserve"> ont lieu tous les 4 ans (2016, 2020, …)</w:t>
      </w:r>
    </w:p>
    <w:p w:rsidR="005F27A1" w:rsidRPr="00544FEA" w:rsidRDefault="005F27A1" w:rsidP="005F27A1">
      <w:pPr>
        <w:pStyle w:val="Paragraphedeliste"/>
        <w:numPr>
          <w:ilvl w:val="0"/>
          <w:numId w:val="6"/>
        </w:numPr>
      </w:pPr>
      <w:r w:rsidRPr="00544FEA">
        <w:t>Le représentant syndical est, dans une certaine mesure, protégé contre le li</w:t>
      </w:r>
      <w:r w:rsidR="00544FEA" w:rsidRPr="00544FEA">
        <w:t xml:space="preserve">cenciement. </w:t>
      </w:r>
      <w:r w:rsidRPr="00544FEA">
        <w:t>Pour éviter le risque de licenciement en cas de désaccord avec le patron.</w:t>
      </w:r>
    </w:p>
    <w:p w:rsidR="005F27A1" w:rsidRDefault="005F27A1" w:rsidP="005F27A1">
      <w:pPr>
        <w:jc w:val="left"/>
      </w:pPr>
      <w:r>
        <w:br w:type="page"/>
      </w:r>
    </w:p>
    <w:p w:rsidR="005F27A1" w:rsidRDefault="005F27A1" w:rsidP="005F27A1">
      <w:pPr>
        <w:spacing w:before="240"/>
      </w:pPr>
    </w:p>
    <w:tbl>
      <w:tblPr>
        <w:tblStyle w:val="Grilledutableau"/>
        <w:tblW w:w="5000" w:type="pct"/>
        <w:tblLook w:val="04A0" w:firstRow="1" w:lastRow="0" w:firstColumn="1" w:lastColumn="0" w:noHBand="0" w:noVBand="1"/>
      </w:tblPr>
      <w:tblGrid>
        <w:gridCol w:w="1444"/>
        <w:gridCol w:w="2540"/>
        <w:gridCol w:w="2539"/>
        <w:gridCol w:w="2539"/>
      </w:tblGrid>
      <w:tr w:rsidR="005F27A1" w:rsidTr="00F801E1">
        <w:tc>
          <w:tcPr>
            <w:tcW w:w="796" w:type="pct"/>
          </w:tcPr>
          <w:p w:rsidR="005F27A1" w:rsidRDefault="005F27A1" w:rsidP="00F801E1"/>
        </w:tc>
        <w:tc>
          <w:tcPr>
            <w:tcW w:w="1401" w:type="pct"/>
          </w:tcPr>
          <w:p w:rsidR="005F27A1" w:rsidRDefault="005F27A1" w:rsidP="00F801E1">
            <w:pPr>
              <w:jc w:val="center"/>
            </w:pPr>
            <w:r>
              <w:t>DS</w:t>
            </w:r>
          </w:p>
        </w:tc>
        <w:tc>
          <w:tcPr>
            <w:tcW w:w="1401" w:type="pct"/>
          </w:tcPr>
          <w:p w:rsidR="005F27A1" w:rsidRPr="007568E8" w:rsidRDefault="005F27A1" w:rsidP="00F801E1">
            <w:pPr>
              <w:jc w:val="center"/>
            </w:pPr>
            <w:r>
              <w:t>CPPT</w:t>
            </w:r>
          </w:p>
        </w:tc>
        <w:tc>
          <w:tcPr>
            <w:tcW w:w="1401" w:type="pct"/>
          </w:tcPr>
          <w:p w:rsidR="005F27A1" w:rsidRDefault="005F27A1" w:rsidP="00F801E1">
            <w:pPr>
              <w:jc w:val="center"/>
            </w:pPr>
            <w:r>
              <w:t>CE</w:t>
            </w:r>
          </w:p>
        </w:tc>
      </w:tr>
      <w:tr w:rsidR="005F27A1" w:rsidTr="00F801E1">
        <w:tc>
          <w:tcPr>
            <w:tcW w:w="796" w:type="pct"/>
          </w:tcPr>
          <w:p w:rsidR="005F27A1" w:rsidRDefault="005F27A1" w:rsidP="00F801E1">
            <w:r>
              <w:t>Signification</w:t>
            </w:r>
          </w:p>
        </w:tc>
        <w:tc>
          <w:tcPr>
            <w:tcW w:w="1401" w:type="pct"/>
          </w:tcPr>
          <w:p w:rsidR="005F27A1" w:rsidRPr="007568E8" w:rsidRDefault="005F27A1" w:rsidP="00F801E1">
            <w:pPr>
              <w:pStyle w:val="Style1"/>
            </w:pPr>
            <w:r>
              <w:t>Délégation syndicale</w:t>
            </w:r>
          </w:p>
        </w:tc>
        <w:tc>
          <w:tcPr>
            <w:tcW w:w="1401" w:type="pct"/>
          </w:tcPr>
          <w:p w:rsidR="005F27A1" w:rsidRDefault="005F27A1" w:rsidP="00F801E1">
            <w:pPr>
              <w:pStyle w:val="Style1"/>
            </w:pPr>
            <w:r w:rsidRPr="007568E8">
              <w:t>Comité pour l</w:t>
            </w:r>
            <w:r>
              <w:t>a</w:t>
            </w:r>
            <w:r w:rsidRPr="007568E8">
              <w:t xml:space="preserve"> Prévention et la Protection au Travail</w:t>
            </w:r>
          </w:p>
        </w:tc>
        <w:tc>
          <w:tcPr>
            <w:tcW w:w="1401" w:type="pct"/>
          </w:tcPr>
          <w:p w:rsidR="005F27A1" w:rsidRDefault="005F27A1" w:rsidP="00F801E1">
            <w:pPr>
              <w:pStyle w:val="Style1"/>
            </w:pPr>
            <w:r>
              <w:t>Conseil d'entreprise</w:t>
            </w:r>
          </w:p>
        </w:tc>
      </w:tr>
      <w:tr w:rsidR="005F27A1" w:rsidTr="00F801E1">
        <w:trPr>
          <w:trHeight w:val="624"/>
        </w:trPr>
        <w:tc>
          <w:tcPr>
            <w:tcW w:w="796" w:type="pct"/>
          </w:tcPr>
          <w:p w:rsidR="005F27A1" w:rsidRDefault="005F27A1" w:rsidP="00F801E1">
            <w:r>
              <w:t xml:space="preserve">Obligatoire à partir de </w:t>
            </w:r>
          </w:p>
        </w:tc>
        <w:tc>
          <w:tcPr>
            <w:tcW w:w="1401" w:type="pct"/>
          </w:tcPr>
          <w:p w:rsidR="005F27A1" w:rsidRPr="007568E8" w:rsidRDefault="005F27A1" w:rsidP="00F801E1">
            <w:pPr>
              <w:pStyle w:val="Style1"/>
            </w:pPr>
            <w:r w:rsidRPr="007568E8">
              <w:t>50 travailleurs</w:t>
            </w:r>
          </w:p>
        </w:tc>
        <w:tc>
          <w:tcPr>
            <w:tcW w:w="1401" w:type="pct"/>
          </w:tcPr>
          <w:p w:rsidR="005F27A1" w:rsidRPr="007568E8" w:rsidRDefault="005F27A1" w:rsidP="00F801E1">
            <w:pPr>
              <w:pStyle w:val="Style1"/>
            </w:pPr>
            <w:r w:rsidRPr="007568E8">
              <w:t>50 travailleurs</w:t>
            </w:r>
          </w:p>
        </w:tc>
        <w:tc>
          <w:tcPr>
            <w:tcW w:w="1401" w:type="pct"/>
          </w:tcPr>
          <w:p w:rsidR="005F27A1" w:rsidRPr="007568E8" w:rsidRDefault="005F27A1" w:rsidP="00F801E1">
            <w:pPr>
              <w:pStyle w:val="Style1"/>
            </w:pPr>
            <w:r w:rsidRPr="007568E8">
              <w:t>100 travailleurs</w:t>
            </w:r>
          </w:p>
        </w:tc>
      </w:tr>
      <w:tr w:rsidR="005F27A1" w:rsidTr="00F801E1">
        <w:trPr>
          <w:trHeight w:val="1701"/>
        </w:trPr>
        <w:tc>
          <w:tcPr>
            <w:tcW w:w="796" w:type="pct"/>
          </w:tcPr>
          <w:p w:rsidR="005F27A1" w:rsidRDefault="005F27A1" w:rsidP="00F801E1">
            <w:r>
              <w:t>Se compose de</w:t>
            </w:r>
          </w:p>
        </w:tc>
        <w:tc>
          <w:tcPr>
            <w:tcW w:w="1401" w:type="pct"/>
          </w:tcPr>
          <w:p w:rsidR="005F27A1" w:rsidRDefault="005F27A1" w:rsidP="00F801E1">
            <w:pPr>
              <w:pStyle w:val="Style1"/>
            </w:pPr>
            <w:r>
              <w:t>Délégués syndicaux désignés ou élus parmi les travailleurs de l'entreprise</w:t>
            </w:r>
          </w:p>
        </w:tc>
        <w:tc>
          <w:tcPr>
            <w:tcW w:w="1401" w:type="pct"/>
          </w:tcPr>
          <w:p w:rsidR="005F27A1" w:rsidRPr="007568E8" w:rsidRDefault="005F27A1" w:rsidP="00F801E1">
            <w:r>
              <w:t>Représentants du personnel et de l'employeur</w:t>
            </w:r>
          </w:p>
        </w:tc>
        <w:tc>
          <w:tcPr>
            <w:tcW w:w="1401" w:type="pct"/>
          </w:tcPr>
          <w:p w:rsidR="005F27A1" w:rsidRPr="007568E8" w:rsidRDefault="005F27A1" w:rsidP="00F801E1">
            <w:r>
              <w:t>Représentants du personnel et de l'employeur</w:t>
            </w:r>
          </w:p>
        </w:tc>
      </w:tr>
      <w:tr w:rsidR="005F27A1" w:rsidTr="00F801E1">
        <w:trPr>
          <w:trHeight w:val="5329"/>
        </w:trPr>
        <w:tc>
          <w:tcPr>
            <w:tcW w:w="796" w:type="pct"/>
          </w:tcPr>
          <w:p w:rsidR="005F27A1" w:rsidRDefault="005F27A1" w:rsidP="00F801E1">
            <w:r>
              <w:t>Rôle</w:t>
            </w:r>
          </w:p>
        </w:tc>
        <w:tc>
          <w:tcPr>
            <w:tcW w:w="1401" w:type="pct"/>
          </w:tcPr>
          <w:p w:rsidR="005F27A1" w:rsidRDefault="005F27A1" w:rsidP="00F801E1">
            <w:pPr>
              <w:pStyle w:val="Style1"/>
            </w:pPr>
            <w:r>
              <w:rPr>
                <w:lang w:eastAsia="fr-BE"/>
              </w:rPr>
              <w:t>D</w:t>
            </w:r>
            <w:r w:rsidRPr="00CE20C4">
              <w:rPr>
                <w:lang w:eastAsia="fr-BE"/>
              </w:rPr>
              <w:t>éfendre les intérêts du personnel auprès de l’employeur</w:t>
            </w:r>
          </w:p>
        </w:tc>
        <w:tc>
          <w:tcPr>
            <w:tcW w:w="1401" w:type="pct"/>
          </w:tcPr>
          <w:p w:rsidR="005F27A1" w:rsidRDefault="005F27A1" w:rsidP="00F801E1">
            <w:r>
              <w:t>A une m</w:t>
            </w:r>
            <w:r w:rsidRPr="007568E8">
              <w:t>ission consultative:</w:t>
            </w:r>
          </w:p>
          <w:p w:rsidR="005F27A1" w:rsidRPr="007568E8" w:rsidRDefault="005F27A1" w:rsidP="00F801E1">
            <w:pPr>
              <w:pStyle w:val="Style1"/>
            </w:pPr>
            <w:r>
              <w:t>Donne des a</w:t>
            </w:r>
            <w:r w:rsidRPr="007568E8">
              <w:t>vis et suggestions quant au bien être des travailleurs sur le lieu de travail</w:t>
            </w:r>
          </w:p>
        </w:tc>
        <w:tc>
          <w:tcPr>
            <w:tcW w:w="1401" w:type="pct"/>
          </w:tcPr>
          <w:p w:rsidR="005F27A1" w:rsidRPr="007568E8" w:rsidRDefault="005F27A1" w:rsidP="00F801E1">
            <w:r>
              <w:t xml:space="preserve">A une mission </w:t>
            </w:r>
            <w:r w:rsidRPr="007568E8">
              <w:t>active:</w:t>
            </w:r>
          </w:p>
          <w:p w:rsidR="005F27A1" w:rsidRPr="007568E8" w:rsidRDefault="005F27A1" w:rsidP="00F801E1">
            <w:pPr>
              <w:pStyle w:val="Style1"/>
            </w:pPr>
            <w:r>
              <w:t>Dans l'élaboration du r</w:t>
            </w:r>
            <w:r w:rsidRPr="007568E8">
              <w:t>èglement de travail</w:t>
            </w:r>
          </w:p>
          <w:p w:rsidR="005F27A1" w:rsidRDefault="005F27A1" w:rsidP="00F801E1"/>
          <w:p w:rsidR="005F27A1" w:rsidRDefault="005F27A1" w:rsidP="00F801E1"/>
          <w:p w:rsidR="005F27A1" w:rsidRPr="007568E8" w:rsidRDefault="005F27A1" w:rsidP="00F801E1">
            <w:r>
              <w:t xml:space="preserve">A une mission </w:t>
            </w:r>
            <w:r w:rsidRPr="007568E8">
              <w:t>consultative:</w:t>
            </w:r>
          </w:p>
          <w:p w:rsidR="005F27A1" w:rsidRPr="007568E8" w:rsidRDefault="005F27A1" w:rsidP="00F801E1">
            <w:pPr>
              <w:pStyle w:val="Style1"/>
            </w:pPr>
            <w:r>
              <w:t>Donne des a</w:t>
            </w:r>
            <w:r w:rsidRPr="007568E8">
              <w:t>vis et suggestions quant au fonctionnement de l'entreprise</w:t>
            </w:r>
          </w:p>
          <w:p w:rsidR="005F27A1" w:rsidRDefault="005F27A1" w:rsidP="00F801E1"/>
          <w:p w:rsidR="005F27A1" w:rsidRDefault="005F27A1" w:rsidP="00F801E1"/>
          <w:p w:rsidR="005F27A1" w:rsidRDefault="005F27A1" w:rsidP="00F801E1">
            <w:r>
              <w:t>A une mission de vérification</w:t>
            </w:r>
            <w:r w:rsidRPr="007568E8">
              <w:t>:</w:t>
            </w:r>
          </w:p>
          <w:p w:rsidR="005F27A1" w:rsidRPr="007568E8" w:rsidRDefault="005F27A1" w:rsidP="00F801E1">
            <w:pPr>
              <w:pStyle w:val="Style1"/>
            </w:pPr>
            <w:r>
              <w:t>Du respect des législations qui protègent le personnel</w:t>
            </w:r>
          </w:p>
          <w:p w:rsidR="005F27A1" w:rsidRPr="007568E8" w:rsidRDefault="005F27A1" w:rsidP="00F801E1"/>
        </w:tc>
      </w:tr>
    </w:tbl>
    <w:p w:rsidR="005F27A1" w:rsidRDefault="005F27A1" w:rsidP="005F27A1"/>
    <w:p w:rsidR="005F27A1" w:rsidRDefault="005F27A1" w:rsidP="005F27A1">
      <w:pPr>
        <w:jc w:val="left"/>
      </w:pPr>
      <w:r>
        <w:br w:type="page"/>
      </w:r>
    </w:p>
    <w:p w:rsidR="005F27A1" w:rsidRDefault="005F27A1" w:rsidP="005F27A1">
      <w:pPr>
        <w:pStyle w:val="Titre2"/>
        <w:jc w:val="left"/>
      </w:pPr>
      <w:bookmarkStart w:id="14" w:name="_Toc420413019"/>
      <w:bookmarkStart w:id="15" w:name="_Toc490659745"/>
      <w:r>
        <w:lastRenderedPageBreak/>
        <w:t>Synthèse</w:t>
      </w:r>
      <w:bookmarkEnd w:id="14"/>
      <w:bookmarkEnd w:id="15"/>
    </w:p>
    <w:p w:rsidR="005F27A1" w:rsidRDefault="005F27A1" w:rsidP="005F27A1"/>
    <w:p w:rsidR="005F27A1" w:rsidRDefault="005F27A1" w:rsidP="005F27A1">
      <w:r>
        <w:rPr>
          <w:noProof/>
          <w:lang w:eastAsia="fr-BE"/>
        </w:rPr>
        <w:drawing>
          <wp:inline distT="0" distB="0" distL="0" distR="0" wp14:anchorId="4D03676C" wp14:editId="16A36B76">
            <wp:extent cx="5486400" cy="4757530"/>
            <wp:effectExtent l="0" t="0" r="19050" b="5080"/>
            <wp:docPr id="5" name="Diagramme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F27A1" w:rsidRDefault="005F27A1" w:rsidP="005F27A1"/>
    <w:p w:rsidR="005F27A1" w:rsidRDefault="005F27A1" w:rsidP="005F27A1">
      <w:r>
        <w:t>Les élections sociales ont lieu tous les 4 ans dans les entreprises de plus de 50 travailleurs pour y élire les délégués syndicaux, représentants les syndicats.</w:t>
      </w:r>
    </w:p>
    <w:p w:rsidR="005F27A1" w:rsidRDefault="005F27A1" w:rsidP="005F27A1">
      <w:r>
        <w:t xml:space="preserve">Les principaux syndicats en Belgique sont: </w:t>
      </w:r>
    </w:p>
    <w:p w:rsidR="005F27A1" w:rsidRDefault="005F27A1" w:rsidP="005F27A1">
      <w:pPr>
        <w:pStyle w:val="Paragraphedeliste"/>
        <w:numPr>
          <w:ilvl w:val="0"/>
          <w:numId w:val="2"/>
        </w:numPr>
      </w:pPr>
      <w:r>
        <w:t xml:space="preserve">la </w:t>
      </w:r>
      <w:r w:rsidRPr="009676D4">
        <w:rPr>
          <w:b/>
        </w:rPr>
        <w:t>CSC</w:t>
      </w:r>
      <w:r>
        <w:t xml:space="preserve">: Confédération des Syndicats Chrétiens, </w:t>
      </w:r>
    </w:p>
    <w:p w:rsidR="005F27A1" w:rsidRDefault="005F27A1" w:rsidP="005F27A1">
      <w:pPr>
        <w:pStyle w:val="Paragraphedeliste"/>
        <w:numPr>
          <w:ilvl w:val="0"/>
          <w:numId w:val="2"/>
        </w:numPr>
      </w:pPr>
      <w:r>
        <w:t xml:space="preserve">la </w:t>
      </w:r>
      <w:r w:rsidRPr="009676D4">
        <w:rPr>
          <w:b/>
        </w:rPr>
        <w:t>FGTB</w:t>
      </w:r>
      <w:r>
        <w:t xml:space="preserve">: Fédération Générale des Travailleurs de Belgique </w:t>
      </w:r>
    </w:p>
    <w:p w:rsidR="005F27A1" w:rsidRDefault="005F27A1" w:rsidP="005F27A1">
      <w:pPr>
        <w:pStyle w:val="Paragraphedeliste"/>
        <w:numPr>
          <w:ilvl w:val="0"/>
          <w:numId w:val="2"/>
        </w:numPr>
      </w:pPr>
      <w:r>
        <w:t xml:space="preserve">la </w:t>
      </w:r>
      <w:r w:rsidRPr="009676D4">
        <w:rPr>
          <w:b/>
        </w:rPr>
        <w:t>CGSLB</w:t>
      </w:r>
      <w:r>
        <w:t>: Centrale Générale des Syndicats Libéraux de Belgique</w:t>
      </w:r>
    </w:p>
    <w:p w:rsidR="005F27A1" w:rsidRDefault="005F27A1" w:rsidP="005F27A1">
      <w:r>
        <w:t xml:space="preserve">Les </w:t>
      </w:r>
      <w:r w:rsidRPr="009676D4">
        <w:rPr>
          <w:b/>
        </w:rPr>
        <w:t>CCT</w:t>
      </w:r>
      <w:r>
        <w:t xml:space="preserve"> sont des Conventions Collectives de Travail. Les décisions prises à un échelon inférieur ne peuvent jamais être moins favorables pour le travailleur que les décisions prises à un échelon supérieur.</w:t>
      </w:r>
    </w:p>
    <w:p w:rsidR="005F27A1" w:rsidRDefault="005F27A1" w:rsidP="005F27A1"/>
    <w:p w:rsidR="005F27A1" w:rsidRDefault="005F27A1" w:rsidP="005F27A1"/>
    <w:p w:rsidR="005F27A1" w:rsidRDefault="005F27A1" w:rsidP="005F27A1">
      <w:pPr>
        <w:jc w:val="left"/>
      </w:pPr>
    </w:p>
    <w:sectPr w:rsidR="005F27A1">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A01" w:rsidRDefault="001C3A01" w:rsidP="005F27A1">
      <w:pPr>
        <w:spacing w:after="0" w:line="240" w:lineRule="auto"/>
      </w:pPr>
      <w:r>
        <w:separator/>
      </w:r>
    </w:p>
  </w:endnote>
  <w:endnote w:type="continuationSeparator" w:id="0">
    <w:p w:rsidR="001C3A01" w:rsidRDefault="001C3A01" w:rsidP="005F2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iberation Serif">
    <w:altName w:val="Times New Roman"/>
    <w:charset w:val="01"/>
    <w:family w:val="roman"/>
    <w:pitch w:val="variable"/>
  </w:font>
  <w:font w:name="Verdana">
    <w:panose1 w:val="020B0604030504040204"/>
    <w:charset w:val="00"/>
    <w:family w:val="swiss"/>
    <w:pitch w:val="variable"/>
    <w:sig w:usb0="A10006FF" w:usb1="4000205B" w:usb2="00000010" w:usb3="00000000" w:csb0="0000019F" w:csb1="00000000"/>
  </w:font>
  <w:font w:name="TwCenMTCondensedExtra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150142"/>
      <w:docPartObj>
        <w:docPartGallery w:val="Page Numbers (Bottom of Page)"/>
        <w:docPartUnique/>
      </w:docPartObj>
    </w:sdtPr>
    <w:sdtEndPr/>
    <w:sdtContent>
      <w:p w:rsidR="00F17AAE" w:rsidRDefault="00F17AAE">
        <w:pPr>
          <w:pStyle w:val="Pieddepage"/>
          <w:jc w:val="center"/>
        </w:pPr>
        <w:r>
          <w:fldChar w:fldCharType="begin"/>
        </w:r>
        <w:r>
          <w:instrText>PAGE   \* MERGEFORMAT</w:instrText>
        </w:r>
        <w:r>
          <w:fldChar w:fldCharType="separate"/>
        </w:r>
        <w:r w:rsidR="00F6488C" w:rsidRPr="00F6488C">
          <w:rPr>
            <w:noProof/>
            <w:lang w:val="fr-FR"/>
          </w:rPr>
          <w:t>1</w:t>
        </w:r>
        <w:r>
          <w:fldChar w:fldCharType="end"/>
        </w:r>
      </w:p>
    </w:sdtContent>
  </w:sdt>
  <w:p w:rsidR="00F17AAE" w:rsidRDefault="00F17AA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A01" w:rsidRDefault="001C3A01" w:rsidP="005F27A1">
      <w:pPr>
        <w:spacing w:after="0" w:line="240" w:lineRule="auto"/>
      </w:pPr>
      <w:r>
        <w:separator/>
      </w:r>
    </w:p>
  </w:footnote>
  <w:footnote w:type="continuationSeparator" w:id="0">
    <w:p w:rsidR="001C3A01" w:rsidRDefault="001C3A01" w:rsidP="005F27A1">
      <w:pPr>
        <w:spacing w:after="0" w:line="240" w:lineRule="auto"/>
      </w:pPr>
      <w:r>
        <w:continuationSeparator/>
      </w:r>
    </w:p>
  </w:footnote>
  <w:footnote w:id="1">
    <w:p w:rsidR="005F27A1" w:rsidRDefault="005F27A1" w:rsidP="005F27A1">
      <w:pPr>
        <w:pStyle w:val="Notedebasdepage"/>
      </w:pPr>
      <w:r>
        <w:rPr>
          <w:rStyle w:val="Appelnotedebasdep"/>
        </w:rPr>
        <w:footnoteRef/>
      </w:r>
      <w:r>
        <w:t xml:space="preserve"> Source: </w:t>
      </w:r>
      <w:hyperlink r:id="rId1" w:history="1">
        <w:r w:rsidRPr="00D5244D">
          <w:rPr>
            <w:rStyle w:val="Lienhypertexte"/>
          </w:rPr>
          <w:t>http://www.emploi.belgique.be/institution_CP/</w:t>
        </w:r>
      </w:hyperlink>
      <w:r>
        <w:t xml:space="preserve"> - consulté le 30/03/2017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E7A4B"/>
    <w:multiLevelType w:val="hybridMultilevel"/>
    <w:tmpl w:val="E7AAFE62"/>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3885D3F"/>
    <w:multiLevelType w:val="hybridMultilevel"/>
    <w:tmpl w:val="EBF6C3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5884038F"/>
    <w:multiLevelType w:val="hybridMultilevel"/>
    <w:tmpl w:val="1772B6D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5DAF49CD"/>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nsid w:val="63A866F4"/>
    <w:multiLevelType w:val="hybridMultilevel"/>
    <w:tmpl w:val="24D08266"/>
    <w:lvl w:ilvl="0" w:tplc="E36AF9D6">
      <w:start w:val="1"/>
      <w:numFmt w:val="decimal"/>
      <w:lvlText w:val="%1."/>
      <w:lvlJc w:val="left"/>
      <w:pPr>
        <w:ind w:left="720" w:hanging="360"/>
      </w:pPr>
      <w:rPr>
        <w:rFonts w:ascii="Calibri" w:hAnsi="Calibri"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65163E8A"/>
    <w:multiLevelType w:val="hybridMultilevel"/>
    <w:tmpl w:val="C6A6793A"/>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75165A5"/>
    <w:multiLevelType w:val="hybridMultilevel"/>
    <w:tmpl w:val="078E449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7B455678"/>
    <w:multiLevelType w:val="hybridMultilevel"/>
    <w:tmpl w:val="C6BCC8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7A1"/>
    <w:rsid w:val="001C3A01"/>
    <w:rsid w:val="001D14CC"/>
    <w:rsid w:val="00253CDB"/>
    <w:rsid w:val="00544FEA"/>
    <w:rsid w:val="005F27A1"/>
    <w:rsid w:val="009646F6"/>
    <w:rsid w:val="00AA0619"/>
    <w:rsid w:val="00AB301B"/>
    <w:rsid w:val="00E6553C"/>
    <w:rsid w:val="00E8249C"/>
    <w:rsid w:val="00F17AAE"/>
    <w:rsid w:val="00F648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06722-4B4B-4F9B-B10D-36EFBBEE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7A1"/>
    <w:pPr>
      <w:jc w:val="both"/>
    </w:pPr>
  </w:style>
  <w:style w:type="paragraph" w:styleId="Titre1">
    <w:name w:val="heading 1"/>
    <w:basedOn w:val="Normal"/>
    <w:next w:val="Normal"/>
    <w:link w:val="Titre1Car"/>
    <w:uiPriority w:val="9"/>
    <w:qFormat/>
    <w:rsid w:val="005F27A1"/>
    <w:pPr>
      <w:keepNext/>
      <w:keepLines/>
      <w:pageBreakBefore/>
      <w:numPr>
        <w:numId w:val="1"/>
      </w:numPr>
      <w:spacing w:before="240" w:after="0"/>
      <w:ind w:left="431" w:hanging="431"/>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5F27A1"/>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5F27A1"/>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5F27A1"/>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5F27A1"/>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5F27A1"/>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5F27A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5F27A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5F27A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F27A1"/>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5F27A1"/>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5F27A1"/>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5F27A1"/>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5F27A1"/>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5F27A1"/>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5F27A1"/>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5F27A1"/>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5F27A1"/>
    <w:rPr>
      <w:rFonts w:asciiTheme="majorHAnsi" w:eastAsiaTheme="majorEastAsia" w:hAnsiTheme="majorHAnsi" w:cstheme="majorBidi"/>
      <w:i/>
      <w:iCs/>
      <w:color w:val="272727" w:themeColor="text1" w:themeTint="D8"/>
      <w:sz w:val="21"/>
      <w:szCs w:val="21"/>
    </w:rPr>
  </w:style>
  <w:style w:type="character" w:styleId="Lienhypertexte">
    <w:name w:val="Hyperlink"/>
    <w:basedOn w:val="Policepardfaut"/>
    <w:uiPriority w:val="99"/>
    <w:unhideWhenUsed/>
    <w:rsid w:val="005F27A1"/>
    <w:rPr>
      <w:color w:val="0563C1" w:themeColor="hyperlink"/>
      <w:u w:val="single"/>
    </w:rPr>
  </w:style>
  <w:style w:type="paragraph" w:customStyle="1" w:styleId="Professeur">
    <w:name w:val="Professeur"/>
    <w:basedOn w:val="Normal"/>
    <w:qFormat/>
    <w:rsid w:val="005F27A1"/>
    <w:pPr>
      <w:tabs>
        <w:tab w:val="left" w:pos="567"/>
        <w:tab w:val="left" w:pos="9639"/>
      </w:tabs>
      <w:spacing w:after="0" w:line="480" w:lineRule="auto"/>
    </w:pPr>
    <w:rPr>
      <w:color w:val="FF0000"/>
      <w:u w:val="single" w:color="A6A6A6" w:themeColor="background1" w:themeShade="A6"/>
    </w:rPr>
  </w:style>
  <w:style w:type="paragraph" w:styleId="Paragraphedeliste">
    <w:name w:val="List Paragraph"/>
    <w:basedOn w:val="Normal"/>
    <w:uiPriority w:val="34"/>
    <w:qFormat/>
    <w:rsid w:val="005F27A1"/>
    <w:pPr>
      <w:ind w:left="720"/>
      <w:contextualSpacing/>
    </w:pPr>
  </w:style>
  <w:style w:type="table" w:styleId="Grilledutableau">
    <w:name w:val="Table Grid"/>
    <w:basedOn w:val="TableauNormal"/>
    <w:uiPriority w:val="59"/>
    <w:rsid w:val="005F2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qFormat/>
    <w:rsid w:val="005F27A1"/>
    <w:pPr>
      <w:spacing w:after="0" w:line="240" w:lineRule="auto"/>
    </w:pPr>
    <w:rPr>
      <w:color w:val="FF0000"/>
    </w:rPr>
  </w:style>
  <w:style w:type="paragraph" w:styleId="Notedebasdepage">
    <w:name w:val="footnote text"/>
    <w:basedOn w:val="Normal"/>
    <w:link w:val="NotedebasdepageCar"/>
    <w:uiPriority w:val="99"/>
    <w:semiHidden/>
    <w:unhideWhenUsed/>
    <w:rsid w:val="005F27A1"/>
    <w:pPr>
      <w:spacing w:after="0" w:line="240" w:lineRule="auto"/>
      <w:jc w:val="left"/>
    </w:pPr>
    <w:rPr>
      <w:sz w:val="20"/>
      <w:szCs w:val="20"/>
    </w:rPr>
  </w:style>
  <w:style w:type="character" w:customStyle="1" w:styleId="NotedebasdepageCar">
    <w:name w:val="Note de bas de page Car"/>
    <w:basedOn w:val="Policepardfaut"/>
    <w:link w:val="Notedebasdepage"/>
    <w:uiPriority w:val="99"/>
    <w:semiHidden/>
    <w:rsid w:val="005F27A1"/>
    <w:rPr>
      <w:sz w:val="20"/>
      <w:szCs w:val="20"/>
    </w:rPr>
  </w:style>
  <w:style w:type="character" w:styleId="Appelnotedebasdep">
    <w:name w:val="footnote reference"/>
    <w:basedOn w:val="Policepardfaut"/>
    <w:uiPriority w:val="99"/>
    <w:semiHidden/>
    <w:unhideWhenUsed/>
    <w:rsid w:val="005F27A1"/>
    <w:rPr>
      <w:vertAlign w:val="superscript"/>
    </w:rPr>
  </w:style>
  <w:style w:type="paragraph" w:styleId="En-tte">
    <w:name w:val="header"/>
    <w:basedOn w:val="Normal"/>
    <w:link w:val="En-tteCar"/>
    <w:uiPriority w:val="99"/>
    <w:unhideWhenUsed/>
    <w:rsid w:val="00F17AAE"/>
    <w:pPr>
      <w:tabs>
        <w:tab w:val="center" w:pos="4536"/>
        <w:tab w:val="right" w:pos="9072"/>
      </w:tabs>
      <w:spacing w:after="0" w:line="240" w:lineRule="auto"/>
    </w:pPr>
  </w:style>
  <w:style w:type="character" w:customStyle="1" w:styleId="En-tteCar">
    <w:name w:val="En-tête Car"/>
    <w:basedOn w:val="Policepardfaut"/>
    <w:link w:val="En-tte"/>
    <w:uiPriority w:val="99"/>
    <w:rsid w:val="00F17AAE"/>
  </w:style>
  <w:style w:type="paragraph" w:styleId="Pieddepage">
    <w:name w:val="footer"/>
    <w:basedOn w:val="Normal"/>
    <w:link w:val="PieddepageCar"/>
    <w:uiPriority w:val="99"/>
    <w:unhideWhenUsed/>
    <w:rsid w:val="00F17A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7AAE"/>
  </w:style>
  <w:style w:type="paragraph" w:customStyle="1" w:styleId="Normal1">
    <w:name w:val="Normal1"/>
    <w:rsid w:val="00F6488C"/>
    <w:pPr>
      <w:spacing w:after="0" w:line="240" w:lineRule="auto"/>
    </w:pPr>
    <w:rPr>
      <w:rFonts w:ascii="Liberation Serif" w:eastAsia="Liberation Serif" w:hAnsi="Liberation Serif" w:cs="Liberation Serif"/>
      <w:color w:val="000000"/>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ohra.firat@gmail.com" TargetMode="Externa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1" Type="http://schemas.openxmlformats.org/officeDocument/2006/relationships/hyperlink" Target="http://www.emploi.belgique.be/institution_CP/"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F435D9-6D98-4C6F-94D3-4EF6BC2C2558}" type="doc">
      <dgm:prSet loTypeId="urn:microsoft.com/office/officeart/2005/8/layout/list1" loCatId="list" qsTypeId="urn:microsoft.com/office/officeart/2005/8/quickstyle/simple1" qsCatId="simple" csTypeId="urn:microsoft.com/office/officeart/2005/8/colors/colorful1#1" csCatId="colorful" phldr="1"/>
      <dgm:spPr/>
      <dgm:t>
        <a:bodyPr/>
        <a:lstStyle/>
        <a:p>
          <a:endParaRPr lang="fr-FR"/>
        </a:p>
      </dgm:t>
    </dgm:pt>
    <dgm:pt modelId="{55528F2F-0B30-4967-8FD2-F92BAEBC7698}">
      <dgm:prSet phldrT="[Texte]"/>
      <dgm:spPr/>
      <dgm:t>
        <a:bodyPr/>
        <a:lstStyle/>
        <a:p>
          <a:r>
            <a:rPr lang="fr-FR"/>
            <a:t>niveau fédéral</a:t>
          </a:r>
        </a:p>
      </dgm:t>
    </dgm:pt>
    <dgm:pt modelId="{72C973D8-F58A-493E-9B5B-E30223372E3D}" type="parTrans" cxnId="{4B11C60A-C4A3-4AD1-9DD2-88785BC7C438}">
      <dgm:prSet/>
      <dgm:spPr/>
      <dgm:t>
        <a:bodyPr/>
        <a:lstStyle/>
        <a:p>
          <a:endParaRPr lang="fr-FR"/>
        </a:p>
      </dgm:t>
    </dgm:pt>
    <dgm:pt modelId="{59B04336-7BB6-4325-9B4A-A15E6357DF4A}" type="sibTrans" cxnId="{4B11C60A-C4A3-4AD1-9DD2-88785BC7C438}">
      <dgm:prSet/>
      <dgm:spPr/>
      <dgm:t>
        <a:bodyPr/>
        <a:lstStyle/>
        <a:p>
          <a:endParaRPr lang="fr-FR"/>
        </a:p>
      </dgm:t>
    </dgm:pt>
    <dgm:pt modelId="{DD231710-E89F-498E-8321-6E1D366E79DD}">
      <dgm:prSet phldrT="[Texte]"/>
      <dgm:spPr/>
      <dgm:t>
        <a:bodyPr/>
        <a:lstStyle/>
        <a:p>
          <a:r>
            <a:rPr lang="fr-FR"/>
            <a:t>niveau sectoriel</a:t>
          </a:r>
        </a:p>
      </dgm:t>
    </dgm:pt>
    <dgm:pt modelId="{AF1F9BDF-151F-4664-849F-54C4CE1D228E}" type="parTrans" cxnId="{018CA11C-893A-48D0-BD85-6D36658C5765}">
      <dgm:prSet/>
      <dgm:spPr/>
      <dgm:t>
        <a:bodyPr/>
        <a:lstStyle/>
        <a:p>
          <a:endParaRPr lang="fr-FR"/>
        </a:p>
      </dgm:t>
    </dgm:pt>
    <dgm:pt modelId="{9E51B49F-93CD-4BD7-AA1A-3E8FFD6E601A}" type="sibTrans" cxnId="{018CA11C-893A-48D0-BD85-6D36658C5765}">
      <dgm:prSet/>
      <dgm:spPr/>
      <dgm:t>
        <a:bodyPr/>
        <a:lstStyle/>
        <a:p>
          <a:endParaRPr lang="fr-FR"/>
        </a:p>
      </dgm:t>
    </dgm:pt>
    <dgm:pt modelId="{08332A5A-69F6-4435-BA16-3BDAE3345D2B}">
      <dgm:prSet phldrT="[Texte]"/>
      <dgm:spPr/>
      <dgm:t>
        <a:bodyPr/>
        <a:lstStyle/>
        <a:p>
          <a:r>
            <a:rPr lang="fr-FR"/>
            <a:t>niveau de l'entreprise</a:t>
          </a:r>
        </a:p>
      </dgm:t>
    </dgm:pt>
    <dgm:pt modelId="{090613D6-5923-43BF-BCC9-ECF3883AE183}" type="parTrans" cxnId="{3F98A7DC-133E-49C9-A844-09F96E298FF3}">
      <dgm:prSet/>
      <dgm:spPr/>
      <dgm:t>
        <a:bodyPr/>
        <a:lstStyle/>
        <a:p>
          <a:endParaRPr lang="fr-FR"/>
        </a:p>
      </dgm:t>
    </dgm:pt>
    <dgm:pt modelId="{A6D4407C-4D1F-4D8D-8A9A-3D7EA0F66F72}" type="sibTrans" cxnId="{3F98A7DC-133E-49C9-A844-09F96E298FF3}">
      <dgm:prSet/>
      <dgm:spPr/>
      <dgm:t>
        <a:bodyPr/>
        <a:lstStyle/>
        <a:p>
          <a:endParaRPr lang="fr-FR"/>
        </a:p>
      </dgm:t>
    </dgm:pt>
    <dgm:pt modelId="{BB623029-D729-44AA-836D-AAB5F25FEC58}">
      <dgm:prSet/>
      <dgm:spPr/>
      <dgm:t>
        <a:bodyPr/>
        <a:lstStyle/>
        <a:p>
          <a:r>
            <a:rPr lang="fr-FR"/>
            <a:t>le Conseil Central de l'Economie (CCE) donne un </a:t>
          </a:r>
          <a:r>
            <a:rPr lang="fr-FR" b="1"/>
            <a:t>avis</a:t>
          </a:r>
          <a:r>
            <a:rPr lang="fr-FR"/>
            <a:t> sur la situation économique</a:t>
          </a:r>
        </a:p>
      </dgm:t>
    </dgm:pt>
    <dgm:pt modelId="{B17A9BC9-E70C-4D1C-BA8A-01D561FF3277}" type="parTrans" cxnId="{72468EDC-07CC-4E5D-BDD0-C6C806478EF1}">
      <dgm:prSet/>
      <dgm:spPr/>
      <dgm:t>
        <a:bodyPr/>
        <a:lstStyle/>
        <a:p>
          <a:endParaRPr lang="fr-FR"/>
        </a:p>
      </dgm:t>
    </dgm:pt>
    <dgm:pt modelId="{53C2B0EF-517D-453A-8131-183CC982CCDB}" type="sibTrans" cxnId="{72468EDC-07CC-4E5D-BDD0-C6C806478EF1}">
      <dgm:prSet/>
      <dgm:spPr/>
      <dgm:t>
        <a:bodyPr/>
        <a:lstStyle/>
        <a:p>
          <a:endParaRPr lang="fr-FR"/>
        </a:p>
      </dgm:t>
    </dgm:pt>
    <dgm:pt modelId="{B65AEC26-0845-4A1B-A060-F80D70FB2426}">
      <dgm:prSet/>
      <dgm:spPr/>
      <dgm:t>
        <a:bodyPr/>
        <a:lstStyle/>
        <a:p>
          <a:r>
            <a:rPr lang="fr-FR"/>
            <a:t>le G10 regroupe les représentants des travailleurs et des employeurs et construisent un </a:t>
          </a:r>
          <a:r>
            <a:rPr lang="fr-FR" b="1"/>
            <a:t>AIP</a:t>
          </a:r>
        </a:p>
      </dgm:t>
    </dgm:pt>
    <dgm:pt modelId="{1EC70C57-5B3B-419A-BEE0-460C3FB83128}" type="parTrans" cxnId="{71F9AD46-94F1-4414-8F67-918DB9D8C993}">
      <dgm:prSet/>
      <dgm:spPr/>
      <dgm:t>
        <a:bodyPr/>
        <a:lstStyle/>
        <a:p>
          <a:endParaRPr lang="fr-FR"/>
        </a:p>
      </dgm:t>
    </dgm:pt>
    <dgm:pt modelId="{1323FA1F-922C-4239-A8D1-409F87BF73C8}" type="sibTrans" cxnId="{71F9AD46-94F1-4414-8F67-918DB9D8C993}">
      <dgm:prSet/>
      <dgm:spPr/>
      <dgm:t>
        <a:bodyPr/>
        <a:lstStyle/>
        <a:p>
          <a:endParaRPr lang="fr-FR"/>
        </a:p>
      </dgm:t>
    </dgm:pt>
    <dgm:pt modelId="{84786150-69F7-415D-A918-906DB6A8ED77}">
      <dgm:prSet/>
      <dgm:spPr/>
      <dgm:t>
        <a:bodyPr/>
        <a:lstStyle/>
        <a:p>
          <a:r>
            <a:rPr lang="fr-FR"/>
            <a:t>le Conseil National du Travail (CNT) conclut des </a:t>
          </a:r>
          <a:r>
            <a:rPr lang="fr-FR" b="1"/>
            <a:t>CCT</a:t>
          </a:r>
          <a:r>
            <a:rPr lang="fr-FR"/>
            <a:t> qui ont force de loi pour tout le secteur privé</a:t>
          </a:r>
        </a:p>
      </dgm:t>
    </dgm:pt>
    <dgm:pt modelId="{03C0143B-93A5-4DEA-AF3E-E781D5969927}" type="parTrans" cxnId="{631A0CCD-2766-44B5-8A34-8687F0FC4C03}">
      <dgm:prSet/>
      <dgm:spPr/>
      <dgm:t>
        <a:bodyPr/>
        <a:lstStyle/>
        <a:p>
          <a:endParaRPr lang="fr-FR"/>
        </a:p>
      </dgm:t>
    </dgm:pt>
    <dgm:pt modelId="{5204A87A-307D-4D7B-B672-10EC51F9BA25}" type="sibTrans" cxnId="{631A0CCD-2766-44B5-8A34-8687F0FC4C03}">
      <dgm:prSet/>
      <dgm:spPr/>
      <dgm:t>
        <a:bodyPr/>
        <a:lstStyle/>
        <a:p>
          <a:endParaRPr lang="fr-FR"/>
        </a:p>
      </dgm:t>
    </dgm:pt>
    <dgm:pt modelId="{5986FBA6-1A8F-4D54-BCE2-0C9156AA42A5}">
      <dgm:prSet/>
      <dgm:spPr/>
      <dgm:t>
        <a:bodyPr/>
        <a:lstStyle/>
        <a:p>
          <a:r>
            <a:rPr lang="fr-FR"/>
            <a:t>les Commissions Paritaires (CP) concluent des </a:t>
          </a:r>
          <a:r>
            <a:rPr lang="fr-FR" b="1"/>
            <a:t>CCT</a:t>
          </a:r>
          <a:r>
            <a:rPr lang="fr-FR"/>
            <a:t> applicables dans leur secteur</a:t>
          </a:r>
        </a:p>
      </dgm:t>
    </dgm:pt>
    <dgm:pt modelId="{01BDD40D-3A1B-4489-AFD8-3D20F6C3F549}" type="parTrans" cxnId="{DD305BC0-9F7B-4A49-A9DE-EB57845F794A}">
      <dgm:prSet/>
      <dgm:spPr/>
      <dgm:t>
        <a:bodyPr/>
        <a:lstStyle/>
        <a:p>
          <a:endParaRPr lang="fr-FR"/>
        </a:p>
      </dgm:t>
    </dgm:pt>
    <dgm:pt modelId="{C80C7004-4BE0-4B47-9521-FFED5EC3B3DD}" type="sibTrans" cxnId="{DD305BC0-9F7B-4A49-A9DE-EB57845F794A}">
      <dgm:prSet/>
      <dgm:spPr/>
      <dgm:t>
        <a:bodyPr/>
        <a:lstStyle/>
        <a:p>
          <a:endParaRPr lang="fr-FR"/>
        </a:p>
      </dgm:t>
    </dgm:pt>
    <dgm:pt modelId="{93AC299A-BB51-48DE-9927-C7DB6A907B9C}">
      <dgm:prSet/>
      <dgm:spPr/>
      <dgm:t>
        <a:bodyPr/>
        <a:lstStyle/>
        <a:p>
          <a:r>
            <a:rPr lang="fr-FR"/>
            <a:t>le Conseil d'Entreprise (CE, si +100 travailleurs) et le Comité pour la Prévention et la Protection au Travail (CPPT, si +50 travailleurs) participent à l'élaboration du </a:t>
          </a:r>
          <a:r>
            <a:rPr lang="fr-FR" b="1"/>
            <a:t>règlement de travail</a:t>
          </a:r>
          <a:endParaRPr lang="fr-FR"/>
        </a:p>
      </dgm:t>
    </dgm:pt>
    <dgm:pt modelId="{0F39101E-B756-469C-B66D-679D18D3A15C}" type="parTrans" cxnId="{8EA98815-531C-451D-9EA6-2CAEA2375058}">
      <dgm:prSet/>
      <dgm:spPr/>
      <dgm:t>
        <a:bodyPr/>
        <a:lstStyle/>
        <a:p>
          <a:endParaRPr lang="fr-FR"/>
        </a:p>
      </dgm:t>
    </dgm:pt>
    <dgm:pt modelId="{44DFEE07-C646-4605-BE48-9108C645E17B}" type="sibTrans" cxnId="{8EA98815-531C-451D-9EA6-2CAEA2375058}">
      <dgm:prSet/>
      <dgm:spPr/>
      <dgm:t>
        <a:bodyPr/>
        <a:lstStyle/>
        <a:p>
          <a:endParaRPr lang="fr-FR"/>
        </a:p>
      </dgm:t>
    </dgm:pt>
    <dgm:pt modelId="{5D657D65-62FD-4F67-A066-7308EE69AB7B}" type="pres">
      <dgm:prSet presAssocID="{ADF435D9-6D98-4C6F-94D3-4EF6BC2C2558}" presName="linear" presStyleCnt="0">
        <dgm:presLayoutVars>
          <dgm:dir/>
          <dgm:animLvl val="lvl"/>
          <dgm:resizeHandles val="exact"/>
        </dgm:presLayoutVars>
      </dgm:prSet>
      <dgm:spPr/>
      <dgm:t>
        <a:bodyPr/>
        <a:lstStyle/>
        <a:p>
          <a:endParaRPr lang="fr-BE"/>
        </a:p>
      </dgm:t>
    </dgm:pt>
    <dgm:pt modelId="{A51A5A2A-0FD8-4767-870F-26469A6A1CE8}" type="pres">
      <dgm:prSet presAssocID="{55528F2F-0B30-4967-8FD2-F92BAEBC7698}" presName="parentLin" presStyleCnt="0"/>
      <dgm:spPr/>
    </dgm:pt>
    <dgm:pt modelId="{F4BBA2F2-E218-4B92-A791-039D3BD543A6}" type="pres">
      <dgm:prSet presAssocID="{55528F2F-0B30-4967-8FD2-F92BAEBC7698}" presName="parentLeftMargin" presStyleLbl="node1" presStyleIdx="0" presStyleCnt="3"/>
      <dgm:spPr/>
      <dgm:t>
        <a:bodyPr/>
        <a:lstStyle/>
        <a:p>
          <a:endParaRPr lang="fr-BE"/>
        </a:p>
      </dgm:t>
    </dgm:pt>
    <dgm:pt modelId="{8BBDEE5C-F825-4046-B93B-CA65F773A883}" type="pres">
      <dgm:prSet presAssocID="{55528F2F-0B30-4967-8FD2-F92BAEBC7698}" presName="parentText" presStyleLbl="node1" presStyleIdx="0" presStyleCnt="3">
        <dgm:presLayoutVars>
          <dgm:chMax val="0"/>
          <dgm:bulletEnabled val="1"/>
        </dgm:presLayoutVars>
      </dgm:prSet>
      <dgm:spPr/>
      <dgm:t>
        <a:bodyPr/>
        <a:lstStyle/>
        <a:p>
          <a:endParaRPr lang="fr-BE"/>
        </a:p>
      </dgm:t>
    </dgm:pt>
    <dgm:pt modelId="{1B78588E-B761-42F0-BEE8-2FB3AA0CD1BB}" type="pres">
      <dgm:prSet presAssocID="{55528F2F-0B30-4967-8FD2-F92BAEBC7698}" presName="negativeSpace" presStyleCnt="0"/>
      <dgm:spPr/>
    </dgm:pt>
    <dgm:pt modelId="{BA2BF8FF-A79F-45F7-A956-30C603E8E1E0}" type="pres">
      <dgm:prSet presAssocID="{55528F2F-0B30-4967-8FD2-F92BAEBC7698}" presName="childText" presStyleLbl="conFgAcc1" presStyleIdx="0" presStyleCnt="3">
        <dgm:presLayoutVars>
          <dgm:bulletEnabled val="1"/>
        </dgm:presLayoutVars>
      </dgm:prSet>
      <dgm:spPr/>
      <dgm:t>
        <a:bodyPr/>
        <a:lstStyle/>
        <a:p>
          <a:endParaRPr lang="fr-FR"/>
        </a:p>
      </dgm:t>
    </dgm:pt>
    <dgm:pt modelId="{4A0C983D-E261-43B2-94F9-DB0C974FAC7F}" type="pres">
      <dgm:prSet presAssocID="{59B04336-7BB6-4325-9B4A-A15E6357DF4A}" presName="spaceBetweenRectangles" presStyleCnt="0"/>
      <dgm:spPr/>
    </dgm:pt>
    <dgm:pt modelId="{BD8300A6-8D4B-4B2B-9BC6-760477FD99A4}" type="pres">
      <dgm:prSet presAssocID="{DD231710-E89F-498E-8321-6E1D366E79DD}" presName="parentLin" presStyleCnt="0"/>
      <dgm:spPr/>
    </dgm:pt>
    <dgm:pt modelId="{2CC93799-2056-4248-9670-86E7B51E0D78}" type="pres">
      <dgm:prSet presAssocID="{DD231710-E89F-498E-8321-6E1D366E79DD}" presName="parentLeftMargin" presStyleLbl="node1" presStyleIdx="0" presStyleCnt="3"/>
      <dgm:spPr/>
      <dgm:t>
        <a:bodyPr/>
        <a:lstStyle/>
        <a:p>
          <a:endParaRPr lang="fr-BE"/>
        </a:p>
      </dgm:t>
    </dgm:pt>
    <dgm:pt modelId="{BBB7FE69-8C25-461D-B47E-F5CB2DA2E2BC}" type="pres">
      <dgm:prSet presAssocID="{DD231710-E89F-498E-8321-6E1D366E79DD}" presName="parentText" presStyleLbl="node1" presStyleIdx="1" presStyleCnt="3">
        <dgm:presLayoutVars>
          <dgm:chMax val="0"/>
          <dgm:bulletEnabled val="1"/>
        </dgm:presLayoutVars>
      </dgm:prSet>
      <dgm:spPr/>
      <dgm:t>
        <a:bodyPr/>
        <a:lstStyle/>
        <a:p>
          <a:endParaRPr lang="fr-BE"/>
        </a:p>
      </dgm:t>
    </dgm:pt>
    <dgm:pt modelId="{BD7BB3CA-6936-48D8-9190-A86574F3C706}" type="pres">
      <dgm:prSet presAssocID="{DD231710-E89F-498E-8321-6E1D366E79DD}" presName="negativeSpace" presStyleCnt="0"/>
      <dgm:spPr/>
    </dgm:pt>
    <dgm:pt modelId="{C4754072-26B4-4D82-8039-7CDF214DCFE6}" type="pres">
      <dgm:prSet presAssocID="{DD231710-E89F-498E-8321-6E1D366E79DD}" presName="childText" presStyleLbl="conFgAcc1" presStyleIdx="1" presStyleCnt="3">
        <dgm:presLayoutVars>
          <dgm:bulletEnabled val="1"/>
        </dgm:presLayoutVars>
      </dgm:prSet>
      <dgm:spPr/>
      <dgm:t>
        <a:bodyPr/>
        <a:lstStyle/>
        <a:p>
          <a:endParaRPr lang="fr-FR"/>
        </a:p>
      </dgm:t>
    </dgm:pt>
    <dgm:pt modelId="{C3F480CD-E728-468C-9C0B-543EAC1CB770}" type="pres">
      <dgm:prSet presAssocID="{9E51B49F-93CD-4BD7-AA1A-3E8FFD6E601A}" presName="spaceBetweenRectangles" presStyleCnt="0"/>
      <dgm:spPr/>
    </dgm:pt>
    <dgm:pt modelId="{C02FE6D1-9E58-49F0-BCCB-1D18E5A3E705}" type="pres">
      <dgm:prSet presAssocID="{08332A5A-69F6-4435-BA16-3BDAE3345D2B}" presName="parentLin" presStyleCnt="0"/>
      <dgm:spPr/>
    </dgm:pt>
    <dgm:pt modelId="{A01E7531-6DCB-42A3-84B0-894DEAAEDA67}" type="pres">
      <dgm:prSet presAssocID="{08332A5A-69F6-4435-BA16-3BDAE3345D2B}" presName="parentLeftMargin" presStyleLbl="node1" presStyleIdx="1" presStyleCnt="3"/>
      <dgm:spPr/>
      <dgm:t>
        <a:bodyPr/>
        <a:lstStyle/>
        <a:p>
          <a:endParaRPr lang="fr-BE"/>
        </a:p>
      </dgm:t>
    </dgm:pt>
    <dgm:pt modelId="{D04658E0-1051-4EC9-8271-E45242921B7D}" type="pres">
      <dgm:prSet presAssocID="{08332A5A-69F6-4435-BA16-3BDAE3345D2B}" presName="parentText" presStyleLbl="node1" presStyleIdx="2" presStyleCnt="3">
        <dgm:presLayoutVars>
          <dgm:chMax val="0"/>
          <dgm:bulletEnabled val="1"/>
        </dgm:presLayoutVars>
      </dgm:prSet>
      <dgm:spPr/>
      <dgm:t>
        <a:bodyPr/>
        <a:lstStyle/>
        <a:p>
          <a:endParaRPr lang="fr-BE"/>
        </a:p>
      </dgm:t>
    </dgm:pt>
    <dgm:pt modelId="{AEA16BC3-88F4-47BD-A3B5-FEC6527204B9}" type="pres">
      <dgm:prSet presAssocID="{08332A5A-69F6-4435-BA16-3BDAE3345D2B}" presName="negativeSpace" presStyleCnt="0"/>
      <dgm:spPr/>
    </dgm:pt>
    <dgm:pt modelId="{F104D575-41DD-42D7-A968-4F2B95E6D627}" type="pres">
      <dgm:prSet presAssocID="{08332A5A-69F6-4435-BA16-3BDAE3345D2B}" presName="childText" presStyleLbl="conFgAcc1" presStyleIdx="2" presStyleCnt="3">
        <dgm:presLayoutVars>
          <dgm:bulletEnabled val="1"/>
        </dgm:presLayoutVars>
      </dgm:prSet>
      <dgm:spPr/>
      <dgm:t>
        <a:bodyPr/>
        <a:lstStyle/>
        <a:p>
          <a:endParaRPr lang="fr-FR"/>
        </a:p>
      </dgm:t>
    </dgm:pt>
  </dgm:ptLst>
  <dgm:cxnLst>
    <dgm:cxn modelId="{018CA11C-893A-48D0-BD85-6D36658C5765}" srcId="{ADF435D9-6D98-4C6F-94D3-4EF6BC2C2558}" destId="{DD231710-E89F-498E-8321-6E1D366E79DD}" srcOrd="1" destOrd="0" parTransId="{AF1F9BDF-151F-4664-849F-54C4CE1D228E}" sibTransId="{9E51B49F-93CD-4BD7-AA1A-3E8FFD6E601A}"/>
    <dgm:cxn modelId="{7E2C0CB0-5504-4EC7-A802-50A5CD5EBCDD}" type="presOf" srcId="{55528F2F-0B30-4967-8FD2-F92BAEBC7698}" destId="{F4BBA2F2-E218-4B92-A791-039D3BD543A6}" srcOrd="0" destOrd="0" presId="urn:microsoft.com/office/officeart/2005/8/layout/list1"/>
    <dgm:cxn modelId="{631A0CCD-2766-44B5-8A34-8687F0FC4C03}" srcId="{55528F2F-0B30-4967-8FD2-F92BAEBC7698}" destId="{84786150-69F7-415D-A918-906DB6A8ED77}" srcOrd="2" destOrd="0" parTransId="{03C0143B-93A5-4DEA-AF3E-E781D5969927}" sibTransId="{5204A87A-307D-4D7B-B672-10EC51F9BA25}"/>
    <dgm:cxn modelId="{F9213581-2A41-418B-9722-CBD9FD1ED42B}" type="presOf" srcId="{84786150-69F7-415D-A918-906DB6A8ED77}" destId="{BA2BF8FF-A79F-45F7-A956-30C603E8E1E0}" srcOrd="0" destOrd="2" presId="urn:microsoft.com/office/officeart/2005/8/layout/list1"/>
    <dgm:cxn modelId="{60FD84F7-3CB8-4D89-ACAE-929F2630F80C}" type="presOf" srcId="{ADF435D9-6D98-4C6F-94D3-4EF6BC2C2558}" destId="{5D657D65-62FD-4F67-A066-7308EE69AB7B}" srcOrd="0" destOrd="0" presId="urn:microsoft.com/office/officeart/2005/8/layout/list1"/>
    <dgm:cxn modelId="{233B1208-F742-4584-AC84-D6A1930AD898}" type="presOf" srcId="{93AC299A-BB51-48DE-9927-C7DB6A907B9C}" destId="{F104D575-41DD-42D7-A968-4F2B95E6D627}" srcOrd="0" destOrd="0" presId="urn:microsoft.com/office/officeart/2005/8/layout/list1"/>
    <dgm:cxn modelId="{FD086F7B-4F2C-43E5-8553-C5CC538E32CD}" type="presOf" srcId="{08332A5A-69F6-4435-BA16-3BDAE3345D2B}" destId="{D04658E0-1051-4EC9-8271-E45242921B7D}" srcOrd="1" destOrd="0" presId="urn:microsoft.com/office/officeart/2005/8/layout/list1"/>
    <dgm:cxn modelId="{D3570EB5-44C8-4028-983D-2B2975FA3F83}" type="presOf" srcId="{55528F2F-0B30-4967-8FD2-F92BAEBC7698}" destId="{8BBDEE5C-F825-4046-B93B-CA65F773A883}" srcOrd="1" destOrd="0" presId="urn:microsoft.com/office/officeart/2005/8/layout/list1"/>
    <dgm:cxn modelId="{B94697E7-2497-40B1-89D4-FD7EB6A830AE}" type="presOf" srcId="{BB623029-D729-44AA-836D-AAB5F25FEC58}" destId="{BA2BF8FF-A79F-45F7-A956-30C603E8E1E0}" srcOrd="0" destOrd="0" presId="urn:microsoft.com/office/officeart/2005/8/layout/list1"/>
    <dgm:cxn modelId="{8EA98815-531C-451D-9EA6-2CAEA2375058}" srcId="{08332A5A-69F6-4435-BA16-3BDAE3345D2B}" destId="{93AC299A-BB51-48DE-9927-C7DB6A907B9C}" srcOrd="0" destOrd="0" parTransId="{0F39101E-B756-469C-B66D-679D18D3A15C}" sibTransId="{44DFEE07-C646-4605-BE48-9108C645E17B}"/>
    <dgm:cxn modelId="{DD305BC0-9F7B-4A49-A9DE-EB57845F794A}" srcId="{DD231710-E89F-498E-8321-6E1D366E79DD}" destId="{5986FBA6-1A8F-4D54-BCE2-0C9156AA42A5}" srcOrd="0" destOrd="0" parTransId="{01BDD40D-3A1B-4489-AFD8-3D20F6C3F549}" sibTransId="{C80C7004-4BE0-4B47-9521-FFED5EC3B3DD}"/>
    <dgm:cxn modelId="{4B11C60A-C4A3-4AD1-9DD2-88785BC7C438}" srcId="{ADF435D9-6D98-4C6F-94D3-4EF6BC2C2558}" destId="{55528F2F-0B30-4967-8FD2-F92BAEBC7698}" srcOrd="0" destOrd="0" parTransId="{72C973D8-F58A-493E-9B5B-E30223372E3D}" sibTransId="{59B04336-7BB6-4325-9B4A-A15E6357DF4A}"/>
    <dgm:cxn modelId="{65035C6A-14BA-4EC3-8181-64053CE439B4}" type="presOf" srcId="{B65AEC26-0845-4A1B-A060-F80D70FB2426}" destId="{BA2BF8FF-A79F-45F7-A956-30C603E8E1E0}" srcOrd="0" destOrd="1" presId="urn:microsoft.com/office/officeart/2005/8/layout/list1"/>
    <dgm:cxn modelId="{43C6DF05-802A-4D2D-A6E4-E7ACBEB70DEE}" type="presOf" srcId="{DD231710-E89F-498E-8321-6E1D366E79DD}" destId="{BBB7FE69-8C25-461D-B47E-F5CB2DA2E2BC}" srcOrd="1" destOrd="0" presId="urn:microsoft.com/office/officeart/2005/8/layout/list1"/>
    <dgm:cxn modelId="{B77F582C-D6E7-410A-8D8D-2267DE3D45A1}" type="presOf" srcId="{5986FBA6-1A8F-4D54-BCE2-0C9156AA42A5}" destId="{C4754072-26B4-4D82-8039-7CDF214DCFE6}" srcOrd="0" destOrd="0" presId="urn:microsoft.com/office/officeart/2005/8/layout/list1"/>
    <dgm:cxn modelId="{71F9AD46-94F1-4414-8F67-918DB9D8C993}" srcId="{55528F2F-0B30-4967-8FD2-F92BAEBC7698}" destId="{B65AEC26-0845-4A1B-A060-F80D70FB2426}" srcOrd="1" destOrd="0" parTransId="{1EC70C57-5B3B-419A-BEE0-460C3FB83128}" sibTransId="{1323FA1F-922C-4239-A8D1-409F87BF73C8}"/>
    <dgm:cxn modelId="{3F98A7DC-133E-49C9-A844-09F96E298FF3}" srcId="{ADF435D9-6D98-4C6F-94D3-4EF6BC2C2558}" destId="{08332A5A-69F6-4435-BA16-3BDAE3345D2B}" srcOrd="2" destOrd="0" parTransId="{090613D6-5923-43BF-BCC9-ECF3883AE183}" sibTransId="{A6D4407C-4D1F-4D8D-8A9A-3D7EA0F66F72}"/>
    <dgm:cxn modelId="{F0B8F59F-64A1-4E3D-A158-1311ABA34E2A}" type="presOf" srcId="{08332A5A-69F6-4435-BA16-3BDAE3345D2B}" destId="{A01E7531-6DCB-42A3-84B0-894DEAAEDA67}" srcOrd="0" destOrd="0" presId="urn:microsoft.com/office/officeart/2005/8/layout/list1"/>
    <dgm:cxn modelId="{72468EDC-07CC-4E5D-BDD0-C6C806478EF1}" srcId="{55528F2F-0B30-4967-8FD2-F92BAEBC7698}" destId="{BB623029-D729-44AA-836D-AAB5F25FEC58}" srcOrd="0" destOrd="0" parTransId="{B17A9BC9-E70C-4D1C-BA8A-01D561FF3277}" sibTransId="{53C2B0EF-517D-453A-8131-183CC982CCDB}"/>
    <dgm:cxn modelId="{E984E7A1-C917-4364-A71E-9E7B0EF98279}" type="presOf" srcId="{DD231710-E89F-498E-8321-6E1D366E79DD}" destId="{2CC93799-2056-4248-9670-86E7B51E0D78}" srcOrd="0" destOrd="0" presId="urn:microsoft.com/office/officeart/2005/8/layout/list1"/>
    <dgm:cxn modelId="{4755C824-7030-4509-A80D-603878746945}" type="presParOf" srcId="{5D657D65-62FD-4F67-A066-7308EE69AB7B}" destId="{A51A5A2A-0FD8-4767-870F-26469A6A1CE8}" srcOrd="0" destOrd="0" presId="urn:microsoft.com/office/officeart/2005/8/layout/list1"/>
    <dgm:cxn modelId="{643E9457-F18C-4A0F-BDA9-9B1B9BEA2706}" type="presParOf" srcId="{A51A5A2A-0FD8-4767-870F-26469A6A1CE8}" destId="{F4BBA2F2-E218-4B92-A791-039D3BD543A6}" srcOrd="0" destOrd="0" presId="urn:microsoft.com/office/officeart/2005/8/layout/list1"/>
    <dgm:cxn modelId="{E2F7AAF1-6AC0-4030-8AC9-557FBDBC0E91}" type="presParOf" srcId="{A51A5A2A-0FD8-4767-870F-26469A6A1CE8}" destId="{8BBDEE5C-F825-4046-B93B-CA65F773A883}" srcOrd="1" destOrd="0" presId="urn:microsoft.com/office/officeart/2005/8/layout/list1"/>
    <dgm:cxn modelId="{81DC85F5-3B63-4BC3-9EC1-05DC2B1AFDE3}" type="presParOf" srcId="{5D657D65-62FD-4F67-A066-7308EE69AB7B}" destId="{1B78588E-B761-42F0-BEE8-2FB3AA0CD1BB}" srcOrd="1" destOrd="0" presId="urn:microsoft.com/office/officeart/2005/8/layout/list1"/>
    <dgm:cxn modelId="{BC7EE537-7096-4353-9980-5599D93C24C6}" type="presParOf" srcId="{5D657D65-62FD-4F67-A066-7308EE69AB7B}" destId="{BA2BF8FF-A79F-45F7-A956-30C603E8E1E0}" srcOrd="2" destOrd="0" presId="urn:microsoft.com/office/officeart/2005/8/layout/list1"/>
    <dgm:cxn modelId="{E03FC71E-A87A-4525-9224-24FEC9E13F52}" type="presParOf" srcId="{5D657D65-62FD-4F67-A066-7308EE69AB7B}" destId="{4A0C983D-E261-43B2-94F9-DB0C974FAC7F}" srcOrd="3" destOrd="0" presId="urn:microsoft.com/office/officeart/2005/8/layout/list1"/>
    <dgm:cxn modelId="{AB6DF036-FF14-4DB7-9009-C86B5A28FAE0}" type="presParOf" srcId="{5D657D65-62FD-4F67-A066-7308EE69AB7B}" destId="{BD8300A6-8D4B-4B2B-9BC6-760477FD99A4}" srcOrd="4" destOrd="0" presId="urn:microsoft.com/office/officeart/2005/8/layout/list1"/>
    <dgm:cxn modelId="{9F315E03-E7BF-47F1-8625-71A1D1E24B4A}" type="presParOf" srcId="{BD8300A6-8D4B-4B2B-9BC6-760477FD99A4}" destId="{2CC93799-2056-4248-9670-86E7B51E0D78}" srcOrd="0" destOrd="0" presId="urn:microsoft.com/office/officeart/2005/8/layout/list1"/>
    <dgm:cxn modelId="{62D72617-5873-43A4-B281-87A76CA5FDE0}" type="presParOf" srcId="{BD8300A6-8D4B-4B2B-9BC6-760477FD99A4}" destId="{BBB7FE69-8C25-461D-B47E-F5CB2DA2E2BC}" srcOrd="1" destOrd="0" presId="urn:microsoft.com/office/officeart/2005/8/layout/list1"/>
    <dgm:cxn modelId="{644C6646-27AB-493C-90BB-2FC2482F7B79}" type="presParOf" srcId="{5D657D65-62FD-4F67-A066-7308EE69AB7B}" destId="{BD7BB3CA-6936-48D8-9190-A86574F3C706}" srcOrd="5" destOrd="0" presId="urn:microsoft.com/office/officeart/2005/8/layout/list1"/>
    <dgm:cxn modelId="{A317E9C8-F02D-4AE1-B69F-65F6A1F1CEC4}" type="presParOf" srcId="{5D657D65-62FD-4F67-A066-7308EE69AB7B}" destId="{C4754072-26B4-4D82-8039-7CDF214DCFE6}" srcOrd="6" destOrd="0" presId="urn:microsoft.com/office/officeart/2005/8/layout/list1"/>
    <dgm:cxn modelId="{E4FB030C-A481-4B50-8A5E-2AFB5AF5A0DD}" type="presParOf" srcId="{5D657D65-62FD-4F67-A066-7308EE69AB7B}" destId="{C3F480CD-E728-468C-9C0B-543EAC1CB770}" srcOrd="7" destOrd="0" presId="urn:microsoft.com/office/officeart/2005/8/layout/list1"/>
    <dgm:cxn modelId="{DE1D8927-0082-4325-90B5-D339AB0F3704}" type="presParOf" srcId="{5D657D65-62FD-4F67-A066-7308EE69AB7B}" destId="{C02FE6D1-9E58-49F0-BCCB-1D18E5A3E705}" srcOrd="8" destOrd="0" presId="urn:microsoft.com/office/officeart/2005/8/layout/list1"/>
    <dgm:cxn modelId="{24169509-0D45-4F52-BA01-AFF4E4942048}" type="presParOf" srcId="{C02FE6D1-9E58-49F0-BCCB-1D18E5A3E705}" destId="{A01E7531-6DCB-42A3-84B0-894DEAAEDA67}" srcOrd="0" destOrd="0" presId="urn:microsoft.com/office/officeart/2005/8/layout/list1"/>
    <dgm:cxn modelId="{AC6F0AC8-6105-491C-A611-C87589DF05A2}" type="presParOf" srcId="{C02FE6D1-9E58-49F0-BCCB-1D18E5A3E705}" destId="{D04658E0-1051-4EC9-8271-E45242921B7D}" srcOrd="1" destOrd="0" presId="urn:microsoft.com/office/officeart/2005/8/layout/list1"/>
    <dgm:cxn modelId="{F1F85ABA-E74A-4993-ACBF-FDD01ECE6F6E}" type="presParOf" srcId="{5D657D65-62FD-4F67-A066-7308EE69AB7B}" destId="{AEA16BC3-88F4-47BD-A3B5-FEC6527204B9}" srcOrd="9" destOrd="0" presId="urn:microsoft.com/office/officeart/2005/8/layout/list1"/>
    <dgm:cxn modelId="{B52CAB9E-8D52-42D4-B922-C1756D2F69AB}" type="presParOf" srcId="{5D657D65-62FD-4F67-A066-7308EE69AB7B}" destId="{F104D575-41DD-42D7-A968-4F2B95E6D627}" srcOrd="10" destOrd="0" presId="urn:microsoft.com/office/officeart/2005/8/layout/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2BF8FF-A79F-45F7-A956-30C603E8E1E0}">
      <dsp:nvSpPr>
        <dsp:cNvPr id="0" name=""/>
        <dsp:cNvSpPr/>
      </dsp:nvSpPr>
      <dsp:spPr>
        <a:xfrm>
          <a:off x="0" y="249814"/>
          <a:ext cx="5486400" cy="1748250"/>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5806" tIns="312420" rIns="425806" bIns="106680" numCol="1" spcCol="1270" anchor="t" anchorCtr="0">
          <a:noAutofit/>
        </a:bodyPr>
        <a:lstStyle/>
        <a:p>
          <a:pPr marL="114300" lvl="1" indent="-114300" algn="l" defTabSz="666750">
            <a:lnSpc>
              <a:spcPct val="90000"/>
            </a:lnSpc>
            <a:spcBef>
              <a:spcPct val="0"/>
            </a:spcBef>
            <a:spcAft>
              <a:spcPct val="15000"/>
            </a:spcAft>
            <a:buChar char="••"/>
          </a:pPr>
          <a:r>
            <a:rPr lang="fr-FR" sz="1500" kern="1200"/>
            <a:t>le Conseil Central de l'Economie (CCE) donne un </a:t>
          </a:r>
          <a:r>
            <a:rPr lang="fr-FR" sz="1500" b="1" kern="1200"/>
            <a:t>avis</a:t>
          </a:r>
          <a:r>
            <a:rPr lang="fr-FR" sz="1500" kern="1200"/>
            <a:t> sur la situation économique</a:t>
          </a:r>
        </a:p>
        <a:p>
          <a:pPr marL="114300" lvl="1" indent="-114300" algn="l" defTabSz="666750">
            <a:lnSpc>
              <a:spcPct val="90000"/>
            </a:lnSpc>
            <a:spcBef>
              <a:spcPct val="0"/>
            </a:spcBef>
            <a:spcAft>
              <a:spcPct val="15000"/>
            </a:spcAft>
            <a:buChar char="••"/>
          </a:pPr>
          <a:r>
            <a:rPr lang="fr-FR" sz="1500" kern="1200"/>
            <a:t>le G10 regroupe les représentants des travailleurs et des employeurs et construisent un </a:t>
          </a:r>
          <a:r>
            <a:rPr lang="fr-FR" sz="1500" b="1" kern="1200"/>
            <a:t>AIP</a:t>
          </a:r>
        </a:p>
        <a:p>
          <a:pPr marL="114300" lvl="1" indent="-114300" algn="l" defTabSz="666750">
            <a:lnSpc>
              <a:spcPct val="90000"/>
            </a:lnSpc>
            <a:spcBef>
              <a:spcPct val="0"/>
            </a:spcBef>
            <a:spcAft>
              <a:spcPct val="15000"/>
            </a:spcAft>
            <a:buChar char="••"/>
          </a:pPr>
          <a:r>
            <a:rPr lang="fr-FR" sz="1500" kern="1200"/>
            <a:t>le Conseil National du Travail (CNT) conclut des </a:t>
          </a:r>
          <a:r>
            <a:rPr lang="fr-FR" sz="1500" b="1" kern="1200"/>
            <a:t>CCT</a:t>
          </a:r>
          <a:r>
            <a:rPr lang="fr-FR" sz="1500" kern="1200"/>
            <a:t> qui ont force de loi pour tout le secteur privé</a:t>
          </a:r>
        </a:p>
      </dsp:txBody>
      <dsp:txXfrm>
        <a:off x="0" y="249814"/>
        <a:ext cx="5486400" cy="1748250"/>
      </dsp:txXfrm>
    </dsp:sp>
    <dsp:sp modelId="{8BBDEE5C-F825-4046-B93B-CA65F773A883}">
      <dsp:nvSpPr>
        <dsp:cNvPr id="0" name=""/>
        <dsp:cNvSpPr/>
      </dsp:nvSpPr>
      <dsp:spPr>
        <a:xfrm>
          <a:off x="274320" y="28414"/>
          <a:ext cx="3840480" cy="442800"/>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66750">
            <a:lnSpc>
              <a:spcPct val="90000"/>
            </a:lnSpc>
            <a:spcBef>
              <a:spcPct val="0"/>
            </a:spcBef>
            <a:spcAft>
              <a:spcPct val="35000"/>
            </a:spcAft>
          </a:pPr>
          <a:r>
            <a:rPr lang="fr-FR" sz="1500" kern="1200"/>
            <a:t>niveau fédéral</a:t>
          </a:r>
        </a:p>
      </dsp:txBody>
      <dsp:txXfrm>
        <a:off x="295936" y="50030"/>
        <a:ext cx="3797248" cy="399568"/>
      </dsp:txXfrm>
    </dsp:sp>
    <dsp:sp modelId="{C4754072-26B4-4D82-8039-7CDF214DCFE6}">
      <dsp:nvSpPr>
        <dsp:cNvPr id="0" name=""/>
        <dsp:cNvSpPr/>
      </dsp:nvSpPr>
      <dsp:spPr>
        <a:xfrm>
          <a:off x="0" y="2300465"/>
          <a:ext cx="5486400" cy="850500"/>
        </a:xfrm>
        <a:prstGeom prst="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5806" tIns="312420" rIns="425806" bIns="106680" numCol="1" spcCol="1270" anchor="t" anchorCtr="0">
          <a:noAutofit/>
        </a:bodyPr>
        <a:lstStyle/>
        <a:p>
          <a:pPr marL="114300" lvl="1" indent="-114300" algn="l" defTabSz="666750">
            <a:lnSpc>
              <a:spcPct val="90000"/>
            </a:lnSpc>
            <a:spcBef>
              <a:spcPct val="0"/>
            </a:spcBef>
            <a:spcAft>
              <a:spcPct val="15000"/>
            </a:spcAft>
            <a:buChar char="••"/>
          </a:pPr>
          <a:r>
            <a:rPr lang="fr-FR" sz="1500" kern="1200"/>
            <a:t>les Commissions Paritaires (CP) concluent des </a:t>
          </a:r>
          <a:r>
            <a:rPr lang="fr-FR" sz="1500" b="1" kern="1200"/>
            <a:t>CCT</a:t>
          </a:r>
          <a:r>
            <a:rPr lang="fr-FR" sz="1500" kern="1200"/>
            <a:t> applicables dans leur secteur</a:t>
          </a:r>
        </a:p>
      </dsp:txBody>
      <dsp:txXfrm>
        <a:off x="0" y="2300465"/>
        <a:ext cx="5486400" cy="850500"/>
      </dsp:txXfrm>
    </dsp:sp>
    <dsp:sp modelId="{BBB7FE69-8C25-461D-B47E-F5CB2DA2E2BC}">
      <dsp:nvSpPr>
        <dsp:cNvPr id="0" name=""/>
        <dsp:cNvSpPr/>
      </dsp:nvSpPr>
      <dsp:spPr>
        <a:xfrm>
          <a:off x="274320" y="2079065"/>
          <a:ext cx="3840480" cy="442800"/>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66750">
            <a:lnSpc>
              <a:spcPct val="90000"/>
            </a:lnSpc>
            <a:spcBef>
              <a:spcPct val="0"/>
            </a:spcBef>
            <a:spcAft>
              <a:spcPct val="35000"/>
            </a:spcAft>
          </a:pPr>
          <a:r>
            <a:rPr lang="fr-FR" sz="1500" kern="1200"/>
            <a:t>niveau sectoriel</a:t>
          </a:r>
        </a:p>
      </dsp:txBody>
      <dsp:txXfrm>
        <a:off x="295936" y="2100681"/>
        <a:ext cx="3797248" cy="399568"/>
      </dsp:txXfrm>
    </dsp:sp>
    <dsp:sp modelId="{F104D575-41DD-42D7-A968-4F2B95E6D627}">
      <dsp:nvSpPr>
        <dsp:cNvPr id="0" name=""/>
        <dsp:cNvSpPr/>
      </dsp:nvSpPr>
      <dsp:spPr>
        <a:xfrm>
          <a:off x="0" y="3453365"/>
          <a:ext cx="5486400" cy="1275750"/>
        </a:xfrm>
        <a:prstGeom prst="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5806" tIns="312420" rIns="425806" bIns="106680" numCol="1" spcCol="1270" anchor="t" anchorCtr="0">
          <a:noAutofit/>
        </a:bodyPr>
        <a:lstStyle/>
        <a:p>
          <a:pPr marL="114300" lvl="1" indent="-114300" algn="l" defTabSz="666750">
            <a:lnSpc>
              <a:spcPct val="90000"/>
            </a:lnSpc>
            <a:spcBef>
              <a:spcPct val="0"/>
            </a:spcBef>
            <a:spcAft>
              <a:spcPct val="15000"/>
            </a:spcAft>
            <a:buChar char="••"/>
          </a:pPr>
          <a:r>
            <a:rPr lang="fr-FR" sz="1500" kern="1200"/>
            <a:t>le Conseil d'Entreprise (CE, si +100 travailleurs) et le Comité pour la Prévention et la Protection au Travail (CPPT, si +50 travailleurs) participent à l'élaboration du </a:t>
          </a:r>
          <a:r>
            <a:rPr lang="fr-FR" sz="1500" b="1" kern="1200"/>
            <a:t>règlement de travail</a:t>
          </a:r>
          <a:endParaRPr lang="fr-FR" sz="1500" kern="1200"/>
        </a:p>
      </dsp:txBody>
      <dsp:txXfrm>
        <a:off x="0" y="3453365"/>
        <a:ext cx="5486400" cy="1275750"/>
      </dsp:txXfrm>
    </dsp:sp>
    <dsp:sp modelId="{D04658E0-1051-4EC9-8271-E45242921B7D}">
      <dsp:nvSpPr>
        <dsp:cNvPr id="0" name=""/>
        <dsp:cNvSpPr/>
      </dsp:nvSpPr>
      <dsp:spPr>
        <a:xfrm>
          <a:off x="274320" y="3231965"/>
          <a:ext cx="3840480" cy="442800"/>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66750">
            <a:lnSpc>
              <a:spcPct val="90000"/>
            </a:lnSpc>
            <a:spcBef>
              <a:spcPct val="0"/>
            </a:spcBef>
            <a:spcAft>
              <a:spcPct val="35000"/>
            </a:spcAft>
          </a:pPr>
          <a:r>
            <a:rPr lang="fr-FR" sz="1500" kern="1200"/>
            <a:t>niveau de l'entreprise</a:t>
          </a:r>
        </a:p>
      </dsp:txBody>
      <dsp:txXfrm>
        <a:off x="295936" y="3253581"/>
        <a:ext cx="3797248" cy="399568"/>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1044</Words>
  <Characters>5746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vaio</cp:lastModifiedBy>
  <cp:revision>5</cp:revision>
  <dcterms:created xsi:type="dcterms:W3CDTF">2021-01-10T10:36:00Z</dcterms:created>
  <dcterms:modified xsi:type="dcterms:W3CDTF">2021-01-10T10:40:00Z</dcterms:modified>
</cp:coreProperties>
</file>